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01" w:rsidRPr="005A6638" w:rsidRDefault="00E54401" w:rsidP="00051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638">
        <w:rPr>
          <w:rFonts w:ascii="Times New Roman" w:eastAsia="Times New Roman" w:hAnsi="Times New Roman" w:cs="Times New Roman"/>
          <w:color w:val="000000"/>
          <w:sz w:val="24"/>
          <w:szCs w:val="24"/>
        </w:rPr>
        <w:t>Supplemental Table 1. Sample characteristics among Hispanic adults with hypertension by age group, WICER</w:t>
      </w:r>
      <w:r w:rsidR="00342002" w:rsidRPr="005A66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Survey, New York City, </w:t>
      </w:r>
      <w:r w:rsidR="00342002" w:rsidRPr="005A6638">
        <w:rPr>
          <w:rFonts w:ascii="Times New Roman" w:hAnsi="Times New Roman" w:cs="Times New Roman"/>
          <w:sz w:val="24"/>
          <w:szCs w:val="24"/>
        </w:rPr>
        <w:t>2011-2012</w:t>
      </w:r>
    </w:p>
    <w:tbl>
      <w:tblPr>
        <w:tblW w:w="86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1815"/>
        <w:gridCol w:w="1635"/>
        <w:gridCol w:w="966"/>
      </w:tblGrid>
      <w:tr w:rsidR="00E54401" w:rsidRPr="008A5877" w:rsidTr="00E54401">
        <w:trPr>
          <w:trHeight w:val="63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Younger Adults               (&lt;60 years)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Older adults (≥60 years)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54401" w:rsidRPr="008A5877" w:rsidTr="00E54401">
        <w:trPr>
          <w:trHeight w:val="63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(N) or                   Mean (SD)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(N) or                   Mean (SD)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value</w:t>
            </w:r>
            <w:r w:rsidRPr="008A58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Socioeconomic/Health Care factors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Insurance status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 Medicaid, including other</w:t>
            </w:r>
            <w:r w:rsidRPr="008A58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State or City sponsored free or low-cost insurance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81.7 (348)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88.1 (538)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Private or Medicare only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 (41)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 (56)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Uninsured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 (37)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 (17)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 employment status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Employed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59.7 (255)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36.5 (223)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Unemployed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40.3 (172)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63.5 (388)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Household composition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Lives with ≤ 2 people or alone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40.3 (172)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63.5 (388)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Lives with &gt;2 persons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59.7 (255)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36.5 (223)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Computer literacy 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91.5 (386)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94.5 (571)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0.054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 (36)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 (33)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Patient factors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BP control knowledge score</w:t>
            </w:r>
            <w:r w:rsidRPr="008A58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 (at or below median)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57.6 (247)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(344)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0.619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(above median)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42.4 (182)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(270)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Weight status (BMI)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Normal weight (&lt;25 kg/m2)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 (54)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 (102)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0.189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Overweight (25.0-29.9 kg/m2)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38.4 (163)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(232)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Obese (&gt; 30.0 kg/m2)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48.8 (207)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 (276)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Alcohol use on typical occasion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Non-drinker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59.4 (247)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78.8 (469)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drink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15.6 (65)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 (63)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&gt;=2drinks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(104)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 (63)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Smoking status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Never/Former smoker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92.8 (387)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96.5 (586)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 smoker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 (30)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 (21)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Physical Activity</w:t>
            </w:r>
            <w:r w:rsidRPr="008A58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Active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 (54)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 (37)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Inactive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86.9 (357)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93.7 (553)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Cont’d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Condition factors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Duration with hypertension 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&lt;5 years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 (90)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 (66)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to &lt;10 years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 (105)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 (74)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&gt;=10 years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50.9 (202)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73.2 (382)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Comorbid conditions</w:t>
            </w:r>
            <w:r w:rsidRPr="008A58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63.7 (270)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51.5 (308)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 (119)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36.8 (220)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≥ 2 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 (35)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 (70)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bottom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Physically unhealthy days</w:t>
            </w:r>
            <w:r w:rsidRPr="008A58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 (at or below median)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(235)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61.4 (361)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0.287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(above median)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(170)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38.6 (227)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bottom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Mentally unhealthy days</w:t>
            </w:r>
            <w:r w:rsidRPr="008A58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 (at or below median)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81.9 (339)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80.3 (480)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(above median)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 (75)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 (118)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6019" w:type="dxa"/>
            <w:gridSpan w:val="2"/>
            <w:shd w:val="clear" w:color="auto" w:fill="auto"/>
            <w:noWrap/>
            <w:vAlign w:val="bottom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Health-related activity limitation days</w:t>
            </w:r>
            <w:r w:rsidRPr="008A58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Low (at or below median)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85.3 (349)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81.7 (486)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0.129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(above median)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 (60)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 (109)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Self-rated health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Excellent/Very good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 (242)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48.7 (288)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0.022</w:t>
            </w: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22.8 (96)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 (166)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401" w:rsidRPr="008A5877" w:rsidTr="00E54401">
        <w:trPr>
          <w:trHeight w:val="300"/>
        </w:trPr>
        <w:tc>
          <w:tcPr>
            <w:tcW w:w="4204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Fair/Poor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 (83)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23.2 (137)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E54401" w:rsidRPr="008A5877" w:rsidRDefault="00E54401" w:rsidP="00E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5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54401" w:rsidRDefault="00E54401" w:rsidP="000516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4401" w:rsidRDefault="00E54401" w:rsidP="000516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6C3" w:rsidRPr="00AA7945" w:rsidRDefault="000516C3" w:rsidP="000516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7945">
        <w:rPr>
          <w:rFonts w:ascii="Times New Roman" w:hAnsi="Times New Roman" w:cs="Times New Roman"/>
          <w:sz w:val="20"/>
          <w:szCs w:val="20"/>
        </w:rPr>
        <w:t xml:space="preserve">Abbreviations – WICER, Washington Heights/Inwood Informatics Infrastructure for Community-Centered Comparative Effectiveness Research; SD, Standard Deviation; GED, General Educational Development test; NVS, Newest Vital Sign Score; BP, Blood Pressure; BMI, Body Mass Index; </w:t>
      </w:r>
    </w:p>
    <w:p w:rsidR="000516C3" w:rsidRDefault="000516C3" w:rsidP="000516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A7945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gramEnd"/>
      <w:r w:rsidRPr="00AA7945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A7945">
        <w:rPr>
          <w:rFonts w:ascii="Times New Roman" w:hAnsi="Times New Roman" w:cs="Times New Roman"/>
          <w:sz w:val="20"/>
          <w:szCs w:val="20"/>
        </w:rPr>
        <w:t xml:space="preserve">High adherence (values of 8) and low or medium (0 to &lt;8) on 8-item </w:t>
      </w:r>
      <w:proofErr w:type="spellStart"/>
      <w:r w:rsidRPr="00AA7945">
        <w:rPr>
          <w:rFonts w:ascii="Times New Roman" w:hAnsi="Times New Roman" w:cs="Times New Roman"/>
          <w:sz w:val="20"/>
          <w:szCs w:val="20"/>
        </w:rPr>
        <w:t>Morisky</w:t>
      </w:r>
      <w:proofErr w:type="spellEnd"/>
      <w:r w:rsidRPr="00AA7945">
        <w:rPr>
          <w:rFonts w:ascii="Times New Roman" w:hAnsi="Times New Roman" w:cs="Times New Roman"/>
          <w:sz w:val="20"/>
          <w:szCs w:val="20"/>
        </w:rPr>
        <w:t xml:space="preserve"> Medication Adherence Scale (MMAS-8)</w:t>
      </w:r>
    </w:p>
    <w:p w:rsidR="006768EE" w:rsidRPr="00AA7945" w:rsidRDefault="006768EE" w:rsidP="000516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p-value based on </w:t>
      </w:r>
      <w:r w:rsidRPr="004C023C">
        <w:rPr>
          <w:rFonts w:ascii="Times New Roman" w:hAnsi="Times New Roman" w:cs="Times New Roman"/>
        </w:rPr>
        <w:t>chi-square test for categorical variables and standard 2-tailed t-tests for continuous variables</w:t>
      </w:r>
    </w:p>
    <w:p w:rsidR="009F3037" w:rsidRDefault="009F3037"/>
    <w:p w:rsidR="009F3037" w:rsidRDefault="009F3037"/>
    <w:p w:rsidR="009F3037" w:rsidRDefault="009F3037"/>
    <w:p w:rsidR="009F3037" w:rsidRDefault="009F3037"/>
    <w:p w:rsidR="009F3037" w:rsidRDefault="009F3037"/>
    <w:p w:rsidR="009F3037" w:rsidRDefault="009F3037"/>
    <w:p w:rsidR="006274E6" w:rsidRPr="003B2016" w:rsidRDefault="009F3037" w:rsidP="006274E6">
      <w:pPr>
        <w:rPr>
          <w:rFonts w:ascii="Times New Roman" w:hAnsi="Times New Roman" w:cs="Times New Roman"/>
          <w:sz w:val="24"/>
          <w:szCs w:val="24"/>
        </w:rPr>
      </w:pPr>
      <w:r w:rsidRPr="003B2016">
        <w:rPr>
          <w:rFonts w:ascii="Times New Roman" w:hAnsi="Times New Roman" w:cs="Times New Roman"/>
          <w:sz w:val="24"/>
          <w:szCs w:val="24"/>
        </w:rPr>
        <w:lastRenderedPageBreak/>
        <w:t xml:space="preserve">Supplemental Table 2. </w:t>
      </w:r>
      <w:r w:rsidR="006274E6" w:rsidRPr="003B2016">
        <w:rPr>
          <w:rFonts w:ascii="Times New Roman" w:hAnsi="Times New Roman" w:cs="Times New Roman"/>
          <w:sz w:val="24"/>
          <w:szCs w:val="24"/>
        </w:rPr>
        <w:t xml:space="preserve">Bivariable predictors of antihypertensive medication adherence among those &lt;50 years vs. 50-59 years, Hispanic adults with hypertension, </w:t>
      </w:r>
      <w:r w:rsidR="00CC4D90" w:rsidRPr="003B2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WICER Survey, New York City, </w:t>
      </w:r>
      <w:r w:rsidR="00CC4D90" w:rsidRPr="003B2016">
        <w:rPr>
          <w:rFonts w:ascii="Times New Roman" w:hAnsi="Times New Roman" w:cs="Times New Roman"/>
          <w:sz w:val="24"/>
          <w:szCs w:val="24"/>
        </w:rPr>
        <w:t>2011-2012</w:t>
      </w:r>
    </w:p>
    <w:tbl>
      <w:tblPr>
        <w:tblStyle w:val="TableGrid"/>
        <w:tblW w:w="8815" w:type="dxa"/>
        <w:tblLayout w:type="fixed"/>
        <w:tblLook w:val="04A0" w:firstRow="1" w:lastRow="0" w:firstColumn="1" w:lastColumn="0" w:noHBand="0" w:noVBand="1"/>
        <w:tblCaption w:val="Bivariable predictors of antihypertensive medication adherence among those &lt;50 years vs. 50-59 years, Hispanic adults with hypertension, WICER Survey, New York City, 2011-2012"/>
      </w:tblPr>
      <w:tblGrid>
        <w:gridCol w:w="2425"/>
        <w:gridCol w:w="1170"/>
        <w:gridCol w:w="1440"/>
        <w:gridCol w:w="450"/>
        <w:gridCol w:w="1710"/>
        <w:gridCol w:w="1620"/>
      </w:tblGrid>
      <w:tr w:rsidR="009F3037" w:rsidRPr="004175CE" w:rsidTr="001E6215">
        <w:trPr>
          <w:trHeight w:val="360"/>
          <w:tblHeader/>
        </w:trPr>
        <w:tc>
          <w:tcPr>
            <w:tcW w:w="2425" w:type="dxa"/>
            <w:noWrap/>
          </w:tcPr>
          <w:p w:rsidR="009F3037" w:rsidRPr="00E9368A" w:rsidRDefault="009F3037" w:rsidP="009F30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4"/>
          </w:p>
        </w:tc>
        <w:tc>
          <w:tcPr>
            <w:tcW w:w="2610" w:type="dxa"/>
            <w:gridSpan w:val="2"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&gt;50 years</w:t>
            </w:r>
          </w:p>
        </w:tc>
        <w:tc>
          <w:tcPr>
            <w:tcW w:w="450" w:type="dxa"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50-59 years</w:t>
            </w:r>
          </w:p>
        </w:tc>
      </w:tr>
      <w:bookmarkEnd w:id="0"/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70" w:type="dxa"/>
            <w:vAlign w:val="center"/>
            <w:hideMark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 or                   Mean (SD)</w:t>
            </w:r>
          </w:p>
        </w:tc>
        <w:tc>
          <w:tcPr>
            <w:tcW w:w="1440" w:type="dxa"/>
            <w:noWrap/>
            <w:vAlign w:val="center"/>
            <w:hideMark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 </w:t>
            </w:r>
            <w:proofErr w:type="spellStart"/>
            <w:r w:rsidRPr="00E93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</w:t>
            </w:r>
            <w:r w:rsidRPr="00E9368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450" w:type="dxa"/>
            <w:vAlign w:val="center"/>
            <w:hideMark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  <w:hideMark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 or                   Mean (SD)</w:t>
            </w:r>
          </w:p>
        </w:tc>
        <w:tc>
          <w:tcPr>
            <w:tcW w:w="1620" w:type="dxa"/>
            <w:noWrap/>
            <w:vAlign w:val="center"/>
            <w:hideMark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 </w:t>
            </w:r>
            <w:proofErr w:type="spellStart"/>
            <w:r w:rsidRPr="00E93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</w:t>
            </w:r>
            <w:r w:rsidRPr="00E9368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c</w:t>
            </w:r>
            <w:proofErr w:type="spellEnd"/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Demographics</w:t>
            </w:r>
          </w:p>
        </w:tc>
        <w:tc>
          <w:tcPr>
            <w:tcW w:w="1170" w:type="dxa"/>
            <w:vAlign w:val="center"/>
            <w:hideMark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  <w:hideMark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42.8 (5.8) vs. 43.6 (6.0)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55.2 (2.8) vs. 55.6 (2.6)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Immigration status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Living in U.S. for &lt;10 years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Living in the U.S. ≥10 years or US. born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Language of interview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Spanish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Divorced/Separated/Unmarried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Married or cohabiting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Socioeconomic/Health Care factors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level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≤8 grade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9-11 years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High school/GED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&gt; High school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Insurance status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Any Medicaid, including other</w:t>
            </w:r>
            <w:r w:rsidRPr="00E936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 or City sponsored free or low-cost insurance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Private or Medicare only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Uninsured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Current employment status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Employed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Household composition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Lives with ≤ 2 people or alone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Lives with &gt;2 persons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Computer literacy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Patient factors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BP control knowledge score</w:t>
            </w:r>
            <w:r w:rsidRPr="00E936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Weight status (BMI)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Normal weight </w:t>
            </w:r>
          </w:p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(&lt;25</w:t>
            </w:r>
            <w:r w:rsidRPr="00E936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kg/m2</w:t>
            </w: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Overweight </w:t>
            </w:r>
          </w:p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9368A">
              <w:rPr>
                <w:rFonts w:ascii="Times New Roman" w:hAnsi="Times New Roman" w:cs="Times New Roman"/>
                <w:bCs/>
                <w:sz w:val="24"/>
                <w:szCs w:val="24"/>
              </w:rPr>
              <w:t>25.0-29.9 kg/m2)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Obese (</w:t>
            </w:r>
            <w:r w:rsidRPr="00E9368A">
              <w:rPr>
                <w:rFonts w:ascii="Times New Roman" w:hAnsi="Times New Roman" w:cs="Times New Roman"/>
                <w:bCs/>
                <w:sz w:val="24"/>
                <w:szCs w:val="24"/>
              </w:rPr>
              <w:t>&gt;30.0 kg/m2)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Alcohol consumption on typical occasion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Non-drinker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1 drink/day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≥2drinks/day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Smoking status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Never/Former smoker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Current smoker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Physical Activity</w:t>
            </w:r>
            <w:r w:rsidRPr="00E936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Inactive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Condition factors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Duration with hypertension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&lt;5 years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5 to &lt;10 years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≥10 years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Comorbid conditions</w:t>
            </w:r>
            <w:r w:rsidRPr="00E936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26.7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≥ 2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Poor physical health, 30-day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32.7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Poor mental health, 30-day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0.128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Poor health-related activity limitation, 30-day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0.557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hideMark/>
          </w:tcPr>
          <w:p w:rsidR="009F3037" w:rsidRPr="00E9368A" w:rsidRDefault="009F3037" w:rsidP="009F30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Self-rated health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Very good/Excellent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16.9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7" w:rsidRPr="004175CE" w:rsidTr="001E6215">
        <w:trPr>
          <w:trHeight w:val="360"/>
        </w:trPr>
        <w:tc>
          <w:tcPr>
            <w:tcW w:w="2425" w:type="dxa"/>
            <w:noWrap/>
            <w:vAlign w:val="center"/>
            <w:hideMark/>
          </w:tcPr>
          <w:p w:rsidR="009F3037" w:rsidRPr="00E9368A" w:rsidRDefault="009F3037" w:rsidP="009F30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68A">
              <w:rPr>
                <w:rFonts w:ascii="Times New Roman" w:eastAsia="Times New Roman" w:hAnsi="Times New Roman" w:cs="Times New Roman"/>
                <w:sz w:val="24"/>
                <w:szCs w:val="24"/>
              </w:rPr>
              <w:t>Fair/Poor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noWrap/>
            <w:vAlign w:val="center"/>
          </w:tcPr>
          <w:p w:rsidR="009F3037" w:rsidRPr="00E9368A" w:rsidRDefault="009F3037" w:rsidP="00AB6D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37.7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F3037" w:rsidRPr="00E9368A" w:rsidRDefault="009F3037" w:rsidP="00AB6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46B9" w:rsidRDefault="00E246B9"/>
    <w:sectPr w:rsidR="00E24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58"/>
    <w:rsid w:val="000516C3"/>
    <w:rsid w:val="000C4794"/>
    <w:rsid w:val="0018771C"/>
    <w:rsid w:val="001E6215"/>
    <w:rsid w:val="0024263B"/>
    <w:rsid w:val="002805F4"/>
    <w:rsid w:val="002B4284"/>
    <w:rsid w:val="002C1C50"/>
    <w:rsid w:val="002F7772"/>
    <w:rsid w:val="00342002"/>
    <w:rsid w:val="00396CA9"/>
    <w:rsid w:val="003B2016"/>
    <w:rsid w:val="00520766"/>
    <w:rsid w:val="005721BD"/>
    <w:rsid w:val="005A6638"/>
    <w:rsid w:val="006274E6"/>
    <w:rsid w:val="006768EE"/>
    <w:rsid w:val="006D4AED"/>
    <w:rsid w:val="008A5877"/>
    <w:rsid w:val="009F3037"/>
    <w:rsid w:val="00AA5BEC"/>
    <w:rsid w:val="00AB6D36"/>
    <w:rsid w:val="00BE399A"/>
    <w:rsid w:val="00CA5879"/>
    <w:rsid w:val="00CC4D90"/>
    <w:rsid w:val="00D66C58"/>
    <w:rsid w:val="00E03CF5"/>
    <w:rsid w:val="00E246B9"/>
    <w:rsid w:val="00E54401"/>
    <w:rsid w:val="00E9368A"/>
    <w:rsid w:val="00F7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9DB01F-EB28-49FC-9AE8-2A1F59EF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Tables</vt:lpstr>
    </vt:vector>
  </TitlesOfParts>
  <Company>New York University</Company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Tables</dc:title>
  <dc:subject>Hypertension; Cardiovascular diseases; Medication Adherence; Treatment; Ethnicity; Disparities, Healthcare; Hispanics; Prevention &amp; Control; Prevalence; Risk factors; Preventing Chronic Disease</dc:subject>
  <dc:creator>Priti Bandi</dc:creator>
  <cp:keywords>Hypertension; Cardiovascular diseases; Medication Adherence; Treatment; Ethnicity; Disparities, Healthcare; Hispanics; Prevention &amp; Control; Prevalence; Risk factors </cp:keywords>
  <dc:description/>
  <cp:lastModifiedBy>Jones, Shawn (CDC/ONDIEH/NCCDPHP) (CTR)</cp:lastModifiedBy>
  <cp:revision>4</cp:revision>
  <dcterms:created xsi:type="dcterms:W3CDTF">2017-04-26T15:36:00Z</dcterms:created>
  <dcterms:modified xsi:type="dcterms:W3CDTF">2017-06-01T21:47:00Z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