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B16CA" w14:textId="77777777" w:rsidR="002474C3" w:rsidRPr="00785A30" w:rsidRDefault="002474C3" w:rsidP="00785A30">
      <w:pPr>
        <w:contextualSpacing/>
        <w:jc w:val="center"/>
        <w:rPr>
          <w:b/>
          <w:szCs w:val="24"/>
        </w:rPr>
      </w:pPr>
      <w:bookmarkStart w:id="0" w:name="_GoBack"/>
      <w:bookmarkEnd w:id="0"/>
      <w:r w:rsidRPr="00785A30">
        <w:rPr>
          <w:b/>
          <w:szCs w:val="24"/>
        </w:rPr>
        <w:t>APPENDIX</w:t>
      </w:r>
    </w:p>
    <w:p w14:paraId="21562E02" w14:textId="77777777" w:rsidR="002474C3" w:rsidRPr="001E01FC" w:rsidRDefault="002474C3" w:rsidP="001E01FC">
      <w:pPr>
        <w:rPr>
          <w:b/>
          <w:szCs w:val="24"/>
        </w:rPr>
      </w:pPr>
      <w:r w:rsidRPr="001E01FC">
        <w:rPr>
          <w:b/>
        </w:rPr>
        <w:t>Additional Information on Measures</w:t>
      </w:r>
    </w:p>
    <w:p w14:paraId="022FC86A" w14:textId="77777777" w:rsidR="002474C3" w:rsidRPr="001E01FC" w:rsidRDefault="002474C3" w:rsidP="001E01FC">
      <w:pPr>
        <w:rPr>
          <w:szCs w:val="20"/>
        </w:rPr>
      </w:pPr>
      <w:r>
        <w:t>The</w:t>
      </w:r>
      <w:r w:rsidRPr="00257AE6">
        <w:t xml:space="preserve"> </w:t>
      </w:r>
      <w:r w:rsidR="004A45B3">
        <w:t>National Institutes of Health Patient-Reported Outcomes Measurement Information System (PROMIS)</w:t>
      </w:r>
      <w:r>
        <w:t xml:space="preserve"> scale includes</w:t>
      </w:r>
      <w:r w:rsidRPr="00257AE6">
        <w:t xml:space="preserve"> </w:t>
      </w:r>
      <w:r w:rsidR="00BC6C16">
        <w:t>10</w:t>
      </w:r>
      <w:r w:rsidRPr="00257AE6">
        <w:t xml:space="preserve"> items that tap into physical, mental, and social aspects of health. In a previous psychometric study </w:t>
      </w:r>
      <w:r>
        <w:rPr>
          <w:noProof/>
        </w:rPr>
        <w:t>(1),</w:t>
      </w:r>
      <w:r>
        <w:t xml:space="preserve"> </w:t>
      </w:r>
      <w:r w:rsidRPr="00257AE6">
        <w:t xml:space="preserve">PROMIS investigators identified </w:t>
      </w:r>
      <w:r w:rsidR="004A45B3">
        <w:t>2</w:t>
      </w:r>
      <w:r w:rsidRPr="00257AE6">
        <w:t xml:space="preserve"> overall factors</w:t>
      </w:r>
      <w:r w:rsidR="004A45B3">
        <w:t xml:space="preserve"> — </w:t>
      </w:r>
      <w:r w:rsidRPr="00257AE6">
        <w:t xml:space="preserve">physical health and </w:t>
      </w:r>
      <w:r w:rsidR="00BC6C16">
        <w:t xml:space="preserve">mental health. </w:t>
      </w:r>
      <w:r w:rsidRPr="00257AE6">
        <w:t xml:space="preserve">However, because </w:t>
      </w:r>
      <w:r w:rsidR="004A45B3">
        <w:t>1</w:t>
      </w:r>
      <w:r w:rsidRPr="00257AE6">
        <w:t xml:space="preserve"> item (</w:t>
      </w:r>
      <w:r w:rsidR="004A45B3">
        <w:t>“I</w:t>
      </w:r>
      <w:r w:rsidRPr="004A45B3">
        <w:t>n general, please rate how well you carry out your usual social activities and roles</w:t>
      </w:r>
      <w:r w:rsidR="004A45B3">
        <w:t>.”</w:t>
      </w:r>
      <w:r w:rsidRPr="004A45B3">
        <w:t>)</w:t>
      </w:r>
      <w:r w:rsidRPr="00696D87">
        <w:t xml:space="preserve"> did not load on either factor, PROMIS does not use it to estimate their general population physical and mental health summary</w:t>
      </w:r>
      <w:r w:rsidRPr="004A45B3">
        <w:t xml:space="preserve"> T-s</w:t>
      </w:r>
      <w:r w:rsidRPr="00696D87">
        <w:t xml:space="preserve">cores. The creation of PROMIS </w:t>
      </w:r>
      <w:r w:rsidRPr="004A45B3">
        <w:t>T</w:t>
      </w:r>
      <w:r w:rsidRPr="00696D87">
        <w:t xml:space="preserve">-scores was based on prior work by Hays and colleagues </w:t>
      </w:r>
      <w:r>
        <w:rPr>
          <w:noProof/>
        </w:rPr>
        <w:t>(1)</w:t>
      </w:r>
      <w:r w:rsidRPr="00696D87">
        <w:t xml:space="preserve"> and </w:t>
      </w:r>
      <w:proofErr w:type="spellStart"/>
      <w:r w:rsidRPr="00696D87">
        <w:t>Cella</w:t>
      </w:r>
      <w:proofErr w:type="spellEnd"/>
      <w:r w:rsidRPr="00696D87">
        <w:t xml:space="preserve"> and colleagues </w:t>
      </w:r>
      <w:r>
        <w:rPr>
          <w:noProof/>
        </w:rPr>
        <w:t>(2)</w:t>
      </w:r>
      <w:r w:rsidRPr="00696D87">
        <w:t xml:space="preserve">. </w:t>
      </w:r>
      <w:r>
        <w:t>PROMIS</w:t>
      </w:r>
      <w:r w:rsidR="004A45B3">
        <w:t xml:space="preserve"> global physical health and mental h</w:t>
      </w:r>
      <w:r>
        <w:t xml:space="preserve">ealth T-scores have </w:t>
      </w:r>
      <w:r w:rsidRPr="00696D87">
        <w:t xml:space="preserve">a mean of 50 and a standard deviation of 10, with higher scores indicating better health. </w:t>
      </w:r>
    </w:p>
    <w:p w14:paraId="7E283B22" w14:textId="77777777" w:rsidR="002474C3" w:rsidRDefault="002474C3" w:rsidP="001E01FC">
      <w:r w:rsidRPr="00696D87">
        <w:t xml:space="preserve">The </w:t>
      </w:r>
      <w:r w:rsidR="004A45B3">
        <w:t xml:space="preserve">Centers for Disease Control and Prevention (CDC) </w:t>
      </w:r>
      <w:r w:rsidRPr="00696D87">
        <w:t>Healthy Days measure</w:t>
      </w:r>
      <w:r>
        <w:t>s</w:t>
      </w:r>
      <w:r w:rsidRPr="00696D87">
        <w:t xml:space="preserve"> (</w:t>
      </w:r>
      <w:r w:rsidRPr="004A45B3">
        <w:t xml:space="preserve">http://www.cdc.gov/hrqol/methods.htm) </w:t>
      </w:r>
      <w:r w:rsidR="004A45B3">
        <w:t>has</w:t>
      </w:r>
      <w:r w:rsidRPr="00696D87">
        <w:t xml:space="preserve"> </w:t>
      </w:r>
      <w:r w:rsidR="00BC6C16">
        <w:t>4</w:t>
      </w:r>
      <w:r w:rsidRPr="00696D87">
        <w:t xml:space="preserve"> core items and </w:t>
      </w:r>
      <w:r w:rsidR="00BC6C16">
        <w:t>10</w:t>
      </w:r>
      <w:r w:rsidRPr="00696D87">
        <w:t xml:space="preserve"> supplemental items. The </w:t>
      </w:r>
      <w:r w:rsidR="00BC6C16">
        <w:t>4</w:t>
      </w:r>
      <w:r w:rsidRPr="00696D87">
        <w:t xml:space="preserve"> co</w:t>
      </w:r>
      <w:r>
        <w:t>re items on the Hea</w:t>
      </w:r>
      <w:r w:rsidR="004A45B3">
        <w:t>l</w:t>
      </w:r>
      <w:r>
        <w:t>th</w:t>
      </w:r>
      <w:r w:rsidRPr="00696D87">
        <w:t>Styles survey measured general self-rated health, physically unhealthy days, mentally unhealthy days, and activity limitation days. The general self-rated health item</w:t>
      </w:r>
      <w:r>
        <w:t xml:space="preserve"> (“Would you say that in general your health is – Excellent, Very Good, Good, Fair, or Poor?”)</w:t>
      </w:r>
      <w:r w:rsidRPr="00696D87">
        <w:t xml:space="preserve"> is the same item as the one included on the PROMIS Global Health Scale.</w:t>
      </w:r>
      <w:r w:rsidRPr="00696D87" w:rsidDel="001F7A97">
        <w:rPr>
          <w:bCs/>
        </w:rPr>
        <w:t xml:space="preserve"> </w:t>
      </w:r>
      <w:r w:rsidRPr="00696D87">
        <w:t xml:space="preserve">The CDC items have demonstrated content, construct, and criterion validity </w:t>
      </w:r>
      <w:r>
        <w:rPr>
          <w:noProof/>
        </w:rPr>
        <w:t>(3-7).</w:t>
      </w:r>
      <w:r w:rsidRPr="00696D87">
        <w:t xml:space="preserve"> </w:t>
      </w:r>
    </w:p>
    <w:p w14:paraId="68718322" w14:textId="77777777" w:rsidR="002474C3" w:rsidRDefault="002474C3" w:rsidP="001E01FC">
      <w:r w:rsidRPr="00696D87">
        <w:t xml:space="preserve">Well-being was measured by </w:t>
      </w:r>
      <w:r w:rsidR="00BC6C16">
        <w:t>4</w:t>
      </w:r>
      <w:r w:rsidRPr="00696D87">
        <w:t xml:space="preserve"> items from </w:t>
      </w:r>
      <w:r w:rsidR="00905435">
        <w:t xml:space="preserve">the </w:t>
      </w:r>
      <w:r>
        <w:t>Satisfaction With Life Scale (</w:t>
      </w:r>
      <w:r w:rsidRPr="00696D87">
        <w:t>SWLS</w:t>
      </w:r>
      <w:r>
        <w:t>)</w:t>
      </w:r>
      <w:r w:rsidR="00905435">
        <w:t xml:space="preserve"> </w:t>
      </w:r>
      <w:r>
        <w:rPr>
          <w:noProof/>
        </w:rPr>
        <w:t>(8)</w:t>
      </w:r>
      <w:r w:rsidRPr="00696D87">
        <w:t>. The SWLS has shown acceptable test</w:t>
      </w:r>
      <w:r w:rsidR="00905435">
        <w:t>–</w:t>
      </w:r>
      <w:r w:rsidRPr="00696D87">
        <w:t xml:space="preserve">retest reliability and is sensitive to life events </w:t>
      </w:r>
      <w:r>
        <w:rPr>
          <w:noProof/>
        </w:rPr>
        <w:t>(9-14).</w:t>
      </w:r>
      <w:r w:rsidRPr="00696D87">
        <w:t xml:space="preserve"> The SWLS asks participants to report how much they agreed, from strongly disagree to strongly agree (a 5-point Likert-type scale), with </w:t>
      </w:r>
      <w:r w:rsidR="00905435">
        <w:t>4</w:t>
      </w:r>
      <w:r w:rsidRPr="00696D87">
        <w:t xml:space="preserve"> statements</w:t>
      </w:r>
      <w:r w:rsidRPr="00905435">
        <w:t xml:space="preserve"> (</w:t>
      </w:r>
      <w:r w:rsidR="00905435">
        <w:t>“</w:t>
      </w:r>
      <w:r w:rsidRPr="00905435">
        <w:t xml:space="preserve">In most ways my life is close to my </w:t>
      </w:r>
      <w:r w:rsidRPr="00905435">
        <w:lastRenderedPageBreak/>
        <w:t>ideal</w:t>
      </w:r>
      <w:r w:rsidR="00905435">
        <w:t>.”</w:t>
      </w:r>
      <w:r w:rsidRPr="00905435">
        <w:t xml:space="preserve">; </w:t>
      </w:r>
      <w:r w:rsidR="00905435">
        <w:t>“</w:t>
      </w:r>
      <w:r w:rsidRPr="00905435">
        <w:t>The conditions of my life are excellent</w:t>
      </w:r>
      <w:r w:rsidR="00905435">
        <w:t>.”</w:t>
      </w:r>
      <w:r w:rsidRPr="00905435">
        <w:t xml:space="preserve">; </w:t>
      </w:r>
      <w:r w:rsidR="00905435">
        <w:t>“</w:t>
      </w:r>
      <w:r w:rsidRPr="00905435">
        <w:t>I am satisfied with my life</w:t>
      </w:r>
      <w:r w:rsidR="00905435">
        <w:t>.”</w:t>
      </w:r>
      <w:r w:rsidRPr="00905435">
        <w:t xml:space="preserve">; </w:t>
      </w:r>
      <w:r w:rsidR="00905435">
        <w:t>“</w:t>
      </w:r>
      <w:r w:rsidRPr="00905435">
        <w:t>So far I have gotten the important things I want in life.</w:t>
      </w:r>
      <w:r w:rsidR="00905435">
        <w:t>”</w:t>
      </w:r>
      <w:r w:rsidRPr="00905435">
        <w:t xml:space="preserve">). </w:t>
      </w:r>
      <w:r w:rsidRPr="00696D87">
        <w:t>The fifth item from the SWLS</w:t>
      </w:r>
      <w:r w:rsidRPr="00905435">
        <w:t xml:space="preserve"> (</w:t>
      </w:r>
      <w:r w:rsidR="00905435">
        <w:t>“</w:t>
      </w:r>
      <w:r w:rsidRPr="00905435">
        <w:t>If I could live my life over, I would change almost nothing</w:t>
      </w:r>
      <w:r w:rsidR="00905435">
        <w:t>.”</w:t>
      </w:r>
      <w:r w:rsidRPr="00905435">
        <w:t xml:space="preserve">) </w:t>
      </w:r>
      <w:r w:rsidRPr="00696D87">
        <w:t xml:space="preserve">was </w:t>
      </w:r>
      <w:r>
        <w:t>excluded from the H</w:t>
      </w:r>
      <w:r w:rsidRPr="00696D87">
        <w:t>ealthStyles survey</w:t>
      </w:r>
      <w:r>
        <w:t xml:space="preserve"> to limit respondent burden without </w:t>
      </w:r>
      <w:r w:rsidR="00905435">
        <w:t xml:space="preserve">substantially </w:t>
      </w:r>
      <w:r w:rsidRPr="00696D87">
        <w:t>reduc</w:t>
      </w:r>
      <w:r>
        <w:t>ing</w:t>
      </w:r>
      <w:r w:rsidRPr="00696D87">
        <w:t xml:space="preserve"> the reliability </w:t>
      </w:r>
      <w:r>
        <w:t>or validity</w:t>
      </w:r>
      <w:r w:rsidRPr="00696D87">
        <w:t xml:space="preserve"> of the 4-item scale </w:t>
      </w:r>
      <w:r>
        <w:rPr>
          <w:noProof/>
        </w:rPr>
        <w:t>(15).</w:t>
      </w:r>
      <w:r>
        <w:t xml:space="preserve"> </w:t>
      </w:r>
    </w:p>
    <w:p w14:paraId="65C0A2F7" w14:textId="77777777" w:rsidR="00DF2D90" w:rsidRDefault="002474C3" w:rsidP="001E01FC">
      <w:r w:rsidRPr="00BF1CE8">
        <w:t>To calculate physical activity levels, respondents answered how often they enga</w:t>
      </w:r>
      <w:r w:rsidR="00905435">
        <w:t>ged in various forms of leisure-</w:t>
      </w:r>
      <w:r w:rsidRPr="00BF1CE8">
        <w:t xml:space="preserve">time physical activity. Participants reported the </w:t>
      </w:r>
      <w:r>
        <w:t xml:space="preserve">usual </w:t>
      </w:r>
      <w:r w:rsidRPr="00BF1CE8">
        <w:t>number of days per week and minutes per day they engaged in either vigorou</w:t>
      </w:r>
      <w:r w:rsidR="00905435">
        <w:t>s or moderate physical activity</w:t>
      </w:r>
      <w:r w:rsidRPr="00BF1CE8">
        <w:t xml:space="preserve"> as well as the number of days</w:t>
      </w:r>
      <w:r w:rsidR="00905435">
        <w:t xml:space="preserve"> per week they performed muscle-</w:t>
      </w:r>
      <w:r w:rsidRPr="00BF1CE8">
        <w:t xml:space="preserve">strengthening activities. Responses were then categorized based on current federal guidelines </w:t>
      </w:r>
      <w:r>
        <w:rPr>
          <w:noProof/>
        </w:rPr>
        <w:t>(16)</w:t>
      </w:r>
      <w:r>
        <w:t xml:space="preserve">. </w:t>
      </w:r>
      <w:r w:rsidRPr="00BF1CE8">
        <w:t>These guidelines recommend that American adults engage in at least 150 minutes of moderate-inte</w:t>
      </w:r>
      <w:r w:rsidR="00905435">
        <w:t>nsity or 75 minutes of vigorous-</w:t>
      </w:r>
      <w:r w:rsidRPr="00BF1CE8">
        <w:t xml:space="preserve">intensity physical activity each week (or an equivalent combination). For more extensive health benefits, double that level is recommended. For this analysis, respondents’ </w:t>
      </w:r>
      <w:r w:rsidR="00905435">
        <w:t xml:space="preserve">weekly </w:t>
      </w:r>
      <w:r w:rsidRPr="00BF1CE8">
        <w:t xml:space="preserve">physical activity levels were coded as </w:t>
      </w:r>
      <w:r w:rsidR="00905435">
        <w:t>follows: sedentary = 0 min/</w:t>
      </w:r>
      <w:proofErr w:type="spellStart"/>
      <w:r w:rsidR="00905435">
        <w:t>w</w:t>
      </w:r>
      <w:r w:rsidRPr="00BF1CE8">
        <w:t>k</w:t>
      </w:r>
      <w:proofErr w:type="spellEnd"/>
      <w:r w:rsidR="00905435">
        <w:t>;</w:t>
      </w:r>
      <w:r w:rsidRPr="00BF1CE8">
        <w:t xml:space="preserve"> </w:t>
      </w:r>
      <w:r w:rsidR="00905435" w:rsidRPr="00BF1CE8">
        <w:t>low aerobic activity/below guidel</w:t>
      </w:r>
      <w:r w:rsidRPr="00BF1CE8">
        <w:t>ines = 1</w:t>
      </w:r>
      <w:r w:rsidR="00905435">
        <w:t>–</w:t>
      </w:r>
      <w:r w:rsidRPr="00BF1CE8">
        <w:t>149 min</w:t>
      </w:r>
      <w:r w:rsidR="00905435">
        <w:t>/</w:t>
      </w:r>
      <w:proofErr w:type="spellStart"/>
      <w:r w:rsidR="00905435">
        <w:t>wk</w:t>
      </w:r>
      <w:proofErr w:type="spellEnd"/>
      <w:r w:rsidR="00905435">
        <w:t>;</w:t>
      </w:r>
      <w:r w:rsidRPr="00BF1CE8">
        <w:t xml:space="preserve"> </w:t>
      </w:r>
      <w:r w:rsidR="00905435" w:rsidRPr="00BF1CE8">
        <w:t>meets minimal aerobic guid</w:t>
      </w:r>
      <w:r w:rsidRPr="00BF1CE8">
        <w:t>elines = 150</w:t>
      </w:r>
      <w:r w:rsidR="00905435">
        <w:t>–</w:t>
      </w:r>
      <w:r w:rsidRPr="00BF1CE8">
        <w:t>299 mi</w:t>
      </w:r>
      <w:r w:rsidR="00905435">
        <w:t>/</w:t>
      </w:r>
      <w:proofErr w:type="spellStart"/>
      <w:r w:rsidR="00905435">
        <w:t>wk</w:t>
      </w:r>
      <w:proofErr w:type="spellEnd"/>
      <w:r w:rsidR="00905435">
        <w:t>;</w:t>
      </w:r>
      <w:r w:rsidRPr="00BF1CE8">
        <w:t xml:space="preserve"> or</w:t>
      </w:r>
      <w:r w:rsidR="00905435" w:rsidRPr="00BF1CE8">
        <w:t xml:space="preserve"> meets maximal aerobic gu</w:t>
      </w:r>
      <w:r w:rsidRPr="00BF1CE8">
        <w:t>idelines = 300 or more min</w:t>
      </w:r>
      <w:r w:rsidR="00905435">
        <w:t>/</w:t>
      </w:r>
      <w:proofErr w:type="spellStart"/>
      <w:r w:rsidR="00905435">
        <w:t>wk</w:t>
      </w:r>
      <w:proofErr w:type="spellEnd"/>
      <w:r w:rsidRPr="00BF1CE8">
        <w:t>). Federal g</w:t>
      </w:r>
      <w:r w:rsidR="00905435">
        <w:t>uidelines also recommend muscle-</w:t>
      </w:r>
      <w:r w:rsidRPr="00BF1CE8">
        <w:t xml:space="preserve">strengthening activities on </w:t>
      </w:r>
      <w:r w:rsidR="00905435">
        <w:t>2</w:t>
      </w:r>
      <w:r w:rsidRPr="00BF1CE8">
        <w:t xml:space="preserve"> or more days per week. Respondents also answered how often they engaged in exercises specifically designed to strengthen their muscles, such as lifting weights or doing calisthenics. Respondents engaging in strength training less than twice per week were recoded as not engaging in moderate strength training and those who reported doing so </w:t>
      </w:r>
      <w:r w:rsidR="0011497A">
        <w:t>2</w:t>
      </w:r>
      <w:r w:rsidRPr="00BF1CE8">
        <w:t xml:space="preserve"> or more times a week were considered to engage in moderate strength training.</w:t>
      </w:r>
    </w:p>
    <w:p w14:paraId="2A38C1FC" w14:textId="77777777" w:rsidR="00803930" w:rsidRPr="001E01FC" w:rsidRDefault="00803930" w:rsidP="001E01FC">
      <w:pPr>
        <w:rPr>
          <w:b/>
        </w:rPr>
      </w:pPr>
      <w:r w:rsidRPr="001E01FC">
        <w:rPr>
          <w:b/>
        </w:rPr>
        <w:t>Latent Class Analysis Adjusted for Prevalence by Condition</w:t>
      </w:r>
    </w:p>
    <w:p w14:paraId="5E76BBBC" w14:textId="77777777" w:rsidR="00803930" w:rsidRPr="001600B2" w:rsidRDefault="00730FBB" w:rsidP="001E01FC">
      <w:r>
        <w:lastRenderedPageBreak/>
        <w:t>Results of the latent class analysis after adjustment for the total prevalence of each conditi</w:t>
      </w:r>
      <w:r w:rsidR="001232ED">
        <w:t xml:space="preserve">on is depicted in </w:t>
      </w:r>
      <w:r w:rsidR="00BC6C16">
        <w:t xml:space="preserve">Appendix </w:t>
      </w:r>
      <w:r w:rsidR="005A6F87">
        <w:t>Figure 1</w:t>
      </w:r>
      <w:r>
        <w:t xml:space="preserve">. The </w:t>
      </w:r>
      <w:r w:rsidR="0011497A">
        <w:t xml:space="preserve">Y </w:t>
      </w:r>
      <w:r>
        <w:t>axis represents the percentage of participants that report</w:t>
      </w:r>
      <w:r w:rsidR="005A6F87">
        <w:t>ed</w:t>
      </w:r>
      <w:r>
        <w:t xml:space="preserve"> being diagnosed with each condition out of the total number</w:t>
      </w:r>
      <w:r w:rsidR="00F732E2">
        <w:t xml:space="preserve"> of reports across all classes</w:t>
      </w:r>
      <w:r w:rsidR="00525E69">
        <w:t xml:space="preserve">. This representation of the data </w:t>
      </w:r>
      <w:r w:rsidR="00257148">
        <w:t xml:space="preserve">improves the readability of </w:t>
      </w:r>
      <w:r w:rsidR="00BC6C16">
        <w:t>the Figure</w:t>
      </w:r>
      <w:r w:rsidR="001232ED">
        <w:t xml:space="preserve"> in the main text </w:t>
      </w:r>
      <w:r w:rsidR="00257148">
        <w:t>for low prevalence conditions (1% of the total sample or less). Findings from this depiction of the data suggest</w:t>
      </w:r>
      <w:r w:rsidR="00525E69">
        <w:t xml:space="preserve"> t</w:t>
      </w:r>
      <w:r w:rsidR="00525E69" w:rsidRPr="005A6F87">
        <w:t>hat</w:t>
      </w:r>
      <w:r w:rsidR="00257148" w:rsidRPr="005A6F87">
        <w:t xml:space="preserve"> multiple sclerosis and congestive heart failure were most commonly reported by individuals in </w:t>
      </w:r>
      <w:r w:rsidR="00525E69" w:rsidRPr="005A6F87">
        <w:t>the Physical and Mental Health Conditions class and the Physical Health Conditions</w:t>
      </w:r>
      <w:r w:rsidR="00257148" w:rsidRPr="005A6F87">
        <w:t xml:space="preserve"> class</w:t>
      </w:r>
      <w:r w:rsidR="00525E69" w:rsidRPr="005A6F87">
        <w:t xml:space="preserve">. </w:t>
      </w:r>
      <w:r w:rsidR="0011497A" w:rsidRPr="005A6F87">
        <w:t>E</w:t>
      </w:r>
      <w:r w:rsidR="00525E69" w:rsidRPr="005A6F87">
        <w:t xml:space="preserve">pilepsy or seizure disorders were found to be most common among individual in the Physical and Mental Health Conditions class followed by those in the Mental Health Conditions class. </w:t>
      </w:r>
    </w:p>
    <w:p w14:paraId="0C0CF750" w14:textId="77777777" w:rsidR="002474C3" w:rsidRPr="001E01FC" w:rsidRDefault="00BC6C16" w:rsidP="001E01FC">
      <w:pPr>
        <w:rPr>
          <w:b/>
        </w:rPr>
      </w:pPr>
      <w:r w:rsidRPr="001E01FC">
        <w:rPr>
          <w:b/>
        </w:rPr>
        <w:t>Sociod</w:t>
      </w:r>
      <w:r w:rsidR="002474C3" w:rsidRPr="001E01FC">
        <w:rPr>
          <w:b/>
        </w:rPr>
        <w:t>emographic Characteristics of the 4 Comorbidity Classes</w:t>
      </w:r>
    </w:p>
    <w:p w14:paraId="68786DA2" w14:textId="77777777" w:rsidR="002474C3" w:rsidRDefault="002474C3" w:rsidP="001E01FC">
      <w:r w:rsidRPr="00696D87">
        <w:t xml:space="preserve">When estimating the LCA models, we included the </w:t>
      </w:r>
      <w:r>
        <w:t>following demographic covariates:</w:t>
      </w:r>
      <w:r w:rsidRPr="00696D87">
        <w:t xml:space="preserve"> </w:t>
      </w:r>
      <w:r>
        <w:t xml:space="preserve"> Yearly household </w:t>
      </w:r>
      <w:r w:rsidRPr="00696D87">
        <w:t xml:space="preserve">income, age, </w:t>
      </w:r>
      <w:r w:rsidR="0071257B">
        <w:t>sex</w:t>
      </w:r>
      <w:r w:rsidRPr="00696D87">
        <w:t>, and rac</w:t>
      </w:r>
      <w:r>
        <w:t>e</w:t>
      </w:r>
      <w:r w:rsidRPr="00696D87">
        <w:t>/ethnic</w:t>
      </w:r>
      <w:r>
        <w:t>ity (</w:t>
      </w:r>
      <w:r w:rsidR="00BC6C16">
        <w:t xml:space="preserve">Appendix </w:t>
      </w:r>
      <w:r w:rsidRPr="00696D87">
        <w:t xml:space="preserve">Figures </w:t>
      </w:r>
      <w:r w:rsidR="005A6F87">
        <w:t xml:space="preserve">2, </w:t>
      </w:r>
      <w:r w:rsidR="00803930">
        <w:t>3</w:t>
      </w:r>
      <w:r w:rsidRPr="00696D87">
        <w:t xml:space="preserve">, </w:t>
      </w:r>
      <w:r w:rsidR="00803930">
        <w:t>4</w:t>
      </w:r>
      <w:r w:rsidRPr="00696D87">
        <w:t xml:space="preserve">, </w:t>
      </w:r>
      <w:r w:rsidR="005A6F87">
        <w:t xml:space="preserve">and </w:t>
      </w:r>
      <w:r w:rsidR="006A752B">
        <w:t>5</w:t>
      </w:r>
      <w:r>
        <w:t>)</w:t>
      </w:r>
      <w:r w:rsidRPr="00696D87">
        <w:t xml:space="preserve">. </w:t>
      </w:r>
      <w:r w:rsidR="00BC6C16">
        <w:t xml:space="preserve">Appendix </w:t>
      </w:r>
      <w:r w:rsidRPr="00696D87">
        <w:t xml:space="preserve">Figure </w:t>
      </w:r>
      <w:r w:rsidR="005A6F87">
        <w:t>2</w:t>
      </w:r>
      <w:r w:rsidRPr="00696D87">
        <w:t xml:space="preserve"> presents the estimated probabilities that </w:t>
      </w:r>
      <w:r w:rsidR="005A6F87">
        <w:t xml:space="preserve">people </w:t>
      </w:r>
      <w:r w:rsidRPr="00696D87">
        <w:t xml:space="preserve">with different reported yearly household income had of being included in each of the </w:t>
      </w:r>
      <w:r w:rsidR="005A6F87">
        <w:t>4 classes. T</w:t>
      </w:r>
      <w:r w:rsidRPr="00696D87">
        <w:t xml:space="preserve">he probability of being included in the </w:t>
      </w:r>
      <w:r w:rsidRPr="005A6F87">
        <w:t>Healthy</w:t>
      </w:r>
      <w:r>
        <w:t xml:space="preserve"> </w:t>
      </w:r>
      <w:r w:rsidR="005A6F87">
        <w:t>C</w:t>
      </w:r>
      <w:r>
        <w:t>lass</w:t>
      </w:r>
      <w:r w:rsidRPr="00696D87">
        <w:t xml:space="preserve"> </w:t>
      </w:r>
      <w:r w:rsidR="005A6F87">
        <w:t>compared to all other classes</w:t>
      </w:r>
      <w:r w:rsidR="005A6F87" w:rsidRPr="00696D87">
        <w:t xml:space="preserve"> </w:t>
      </w:r>
      <w:r w:rsidRPr="00696D87">
        <w:t>in</w:t>
      </w:r>
      <w:r w:rsidRPr="005A6F87">
        <w:t xml:space="preserve">creased as yearly household income increased (P &lt; .05). </w:t>
      </w:r>
      <w:r w:rsidR="005A6F87" w:rsidRPr="005A6F87">
        <w:t>T</w:t>
      </w:r>
      <w:r w:rsidRPr="005A6F87">
        <w:t xml:space="preserve">he probability of being classified into the Physical and Mental Health Conditions </w:t>
      </w:r>
      <w:r w:rsidR="005A6F87">
        <w:t>C</w:t>
      </w:r>
      <w:r>
        <w:t>lass</w:t>
      </w:r>
      <w:r w:rsidR="005A6F87">
        <w:t>,</w:t>
      </w:r>
      <w:r w:rsidR="005A6F87" w:rsidRPr="005A6F87">
        <w:t xml:space="preserve"> </w:t>
      </w:r>
      <w:r w:rsidR="005A6F87">
        <w:t>c</w:t>
      </w:r>
      <w:r w:rsidR="005A6F87" w:rsidRPr="00696D87">
        <w:t xml:space="preserve">ompared to all other classes, </w:t>
      </w:r>
      <w:r w:rsidRPr="00696D87">
        <w:t>declined as yearly household income increased (</w:t>
      </w:r>
      <w:r>
        <w:rPr>
          <w:i/>
        </w:rPr>
        <w:t>P</w:t>
      </w:r>
      <w:r w:rsidRPr="00696D87">
        <w:t xml:space="preserve"> &lt;</w:t>
      </w:r>
      <w:r>
        <w:t xml:space="preserve"> </w:t>
      </w:r>
      <w:r w:rsidRPr="00696D87">
        <w:t>.05). The probability of being in the</w:t>
      </w:r>
      <w:r w:rsidRPr="005A6F87">
        <w:t xml:space="preserve"> Physical Health Conditions</w:t>
      </w:r>
      <w:r w:rsidR="005A6F87" w:rsidRPr="005A6F87">
        <w:t xml:space="preserve"> C</w:t>
      </w:r>
      <w:r w:rsidRPr="005A6F87">
        <w:t>lass or the Mental Health Conditions</w:t>
      </w:r>
      <w:r w:rsidR="005A6F87" w:rsidRPr="005A6F87">
        <w:t xml:space="preserve"> C</w:t>
      </w:r>
      <w:r w:rsidRPr="005A6F87">
        <w:t>lass remained relativel</w:t>
      </w:r>
      <w:r w:rsidRPr="00696D87">
        <w:t xml:space="preserve">y stable across all income levels. </w:t>
      </w:r>
    </w:p>
    <w:p w14:paraId="6F12DB2E" w14:textId="77777777" w:rsidR="002474C3" w:rsidRDefault="00BC6C16" w:rsidP="001E01FC">
      <w:r>
        <w:t xml:space="preserve">Appendix </w:t>
      </w:r>
      <w:r w:rsidR="002474C3" w:rsidRPr="00696D87">
        <w:t xml:space="preserve">Figure </w:t>
      </w:r>
      <w:r w:rsidR="00DA0A5B">
        <w:t>3</w:t>
      </w:r>
      <w:r w:rsidR="002474C3" w:rsidRPr="00696D87">
        <w:t xml:space="preserve"> presents the estimated probabilities that individuals in different age groups have of being included in each of the </w:t>
      </w:r>
      <w:r w:rsidR="00DA0A5B">
        <w:t xml:space="preserve">4 </w:t>
      </w:r>
      <w:r w:rsidR="002474C3" w:rsidRPr="00696D87">
        <w:t xml:space="preserve">latent </w:t>
      </w:r>
      <w:r w:rsidR="002474C3" w:rsidRPr="00DA0A5B">
        <w:t xml:space="preserve">classes. As age increased, individuals had a much </w:t>
      </w:r>
      <w:r w:rsidR="002474C3" w:rsidRPr="00DA0A5B">
        <w:lastRenderedPageBreak/>
        <w:t>higher probability of being included in the Physical Health Conditions</w:t>
      </w:r>
      <w:r w:rsidR="00DA0A5B" w:rsidRPr="00DA0A5B">
        <w:t xml:space="preserve"> C</w:t>
      </w:r>
      <w:r w:rsidR="002474C3" w:rsidRPr="00DA0A5B">
        <w:t>lass and a decreasing probability of being included in the Healthy</w:t>
      </w:r>
      <w:r w:rsidR="00DA0A5B" w:rsidRPr="00DA0A5B">
        <w:t xml:space="preserve"> C</w:t>
      </w:r>
      <w:r w:rsidR="002474C3" w:rsidRPr="00DA0A5B">
        <w:t>lass</w:t>
      </w:r>
      <w:r w:rsidR="002474C3" w:rsidRPr="00696D87">
        <w:t xml:space="preserve"> (</w:t>
      </w:r>
      <w:r w:rsidR="002474C3">
        <w:rPr>
          <w:i/>
        </w:rPr>
        <w:t>P</w:t>
      </w:r>
      <w:r w:rsidR="002474C3" w:rsidRPr="00696D87">
        <w:t xml:space="preserve"> &lt; .001).</w:t>
      </w:r>
      <w:r w:rsidR="002474C3" w:rsidRPr="00DA0A5B">
        <w:t xml:space="preserve"> Age played less of a role in determining whether individuals would be classified in the Physical and Mental Health Conditions </w:t>
      </w:r>
      <w:r w:rsidR="00DA0A5B" w:rsidRPr="00DA0A5B">
        <w:t>C</w:t>
      </w:r>
      <w:r w:rsidR="002474C3" w:rsidRPr="00DA0A5B">
        <w:t xml:space="preserve">lass and the Mental Health Conditions </w:t>
      </w:r>
      <w:r w:rsidR="00DA0A5B" w:rsidRPr="00DA0A5B">
        <w:t>C</w:t>
      </w:r>
      <w:r w:rsidR="002474C3" w:rsidRPr="00DA0A5B">
        <w:t>lass</w:t>
      </w:r>
      <w:r w:rsidR="001E01FC">
        <w:t>.</w:t>
      </w:r>
    </w:p>
    <w:p w14:paraId="416F732A" w14:textId="77777777" w:rsidR="002474C3" w:rsidRPr="00696D87" w:rsidRDefault="00BC6C16" w:rsidP="001E01FC">
      <w:r>
        <w:t xml:space="preserve">Appendix </w:t>
      </w:r>
      <w:r w:rsidR="002474C3" w:rsidRPr="00696D87">
        <w:t xml:space="preserve">Figure </w:t>
      </w:r>
      <w:r w:rsidR="00FA71D8">
        <w:t>4</w:t>
      </w:r>
      <w:r w:rsidR="002474C3" w:rsidRPr="001E01FC">
        <w:t xml:space="preserve"> </w:t>
      </w:r>
      <w:r w:rsidR="002474C3" w:rsidRPr="00696D87">
        <w:t xml:space="preserve">presents the estimated probabilities of being placed in each of the latent classes based on </w:t>
      </w:r>
      <w:r w:rsidR="00FA71D8">
        <w:t>sex</w:t>
      </w:r>
      <w:r w:rsidR="002474C3" w:rsidRPr="00696D87">
        <w:t xml:space="preserve">. </w:t>
      </w:r>
      <w:r w:rsidR="0071257B">
        <w:t>Sex</w:t>
      </w:r>
      <w:r w:rsidR="002474C3" w:rsidRPr="00696D87">
        <w:t xml:space="preserve"> played a notabl</w:t>
      </w:r>
      <w:r w:rsidR="002474C3">
        <w:t>e</w:t>
      </w:r>
      <w:r w:rsidR="002474C3" w:rsidRPr="00696D87">
        <w:t xml:space="preserve"> role </w:t>
      </w:r>
      <w:r w:rsidR="002474C3">
        <w:t xml:space="preserve">only </w:t>
      </w:r>
      <w:r w:rsidR="002474C3" w:rsidRPr="00696D87">
        <w:t>in the probability of being in</w:t>
      </w:r>
      <w:r w:rsidR="002474C3" w:rsidRPr="00FA71D8">
        <w:t xml:space="preserve"> the Physical Health Conditions </w:t>
      </w:r>
      <w:r w:rsidR="00FA71D8">
        <w:t>C</w:t>
      </w:r>
      <w:r w:rsidR="002474C3" w:rsidRPr="00FA71D8">
        <w:t>lass</w:t>
      </w:r>
      <w:r w:rsidR="00FA71D8" w:rsidRPr="00FA71D8">
        <w:t>,</w:t>
      </w:r>
      <w:r w:rsidR="002474C3" w:rsidRPr="00FA71D8">
        <w:t xml:space="preserve"> with men being more likely to be included, and in the Mental Health Conditions </w:t>
      </w:r>
      <w:r w:rsidR="00FA71D8">
        <w:t>C</w:t>
      </w:r>
      <w:r w:rsidR="002474C3" w:rsidRPr="00FA71D8">
        <w:t>lass</w:t>
      </w:r>
      <w:r w:rsidR="00FA71D8" w:rsidRPr="00FA71D8">
        <w:t>,</w:t>
      </w:r>
      <w:r w:rsidR="002474C3" w:rsidRPr="00FA71D8">
        <w:t xml:space="preserve"> with women being </w:t>
      </w:r>
      <w:r w:rsidR="002474C3" w:rsidRPr="00696D87">
        <w:t>more likely to be included (</w:t>
      </w:r>
      <w:r w:rsidR="002474C3">
        <w:rPr>
          <w:i/>
        </w:rPr>
        <w:t>P</w:t>
      </w:r>
      <w:r w:rsidR="002474C3" w:rsidRPr="00696D87">
        <w:t xml:space="preserve"> &lt; .05). </w:t>
      </w:r>
    </w:p>
    <w:p w14:paraId="6BA1EB0C" w14:textId="77777777" w:rsidR="002474C3" w:rsidRDefault="00BC6C16" w:rsidP="001E01FC">
      <w:r>
        <w:t xml:space="preserve">Appendix </w:t>
      </w:r>
      <w:r w:rsidR="002474C3" w:rsidRPr="00696D87">
        <w:t xml:space="preserve">Figure </w:t>
      </w:r>
      <w:r w:rsidR="00C65124">
        <w:t>5</w:t>
      </w:r>
      <w:r w:rsidR="001232ED">
        <w:t xml:space="preserve"> </w:t>
      </w:r>
      <w:r w:rsidR="002474C3" w:rsidRPr="00696D87">
        <w:t xml:space="preserve">presents the estimated probabilities of being placed in each of the latent classes based on race/ethnicity. </w:t>
      </w:r>
      <w:r w:rsidR="00C65124">
        <w:t>Compared with adults in other</w:t>
      </w:r>
      <w:r w:rsidR="002474C3" w:rsidRPr="00696D87">
        <w:t xml:space="preserve"> ethnic groups in the other classes, </w:t>
      </w:r>
      <w:r w:rsidR="002474C3">
        <w:t>b</w:t>
      </w:r>
      <w:r w:rsidR="002474C3" w:rsidRPr="00696D87">
        <w:t>lack adults had a higher probability of being included in th</w:t>
      </w:r>
      <w:r w:rsidR="002474C3" w:rsidRPr="00C65124">
        <w:t xml:space="preserve">e Physical Health Conditions </w:t>
      </w:r>
      <w:r w:rsidR="00C65124" w:rsidRPr="00C65124">
        <w:t>C</w:t>
      </w:r>
      <w:r w:rsidR="002474C3" w:rsidRPr="00C65124">
        <w:t>lass than other races/ethnicities but a lower probability of being included in the Physical and Mental Health Conditions</w:t>
      </w:r>
      <w:r w:rsidR="002474C3" w:rsidRPr="00696D87">
        <w:t xml:space="preserve"> </w:t>
      </w:r>
      <w:r w:rsidR="00C65124">
        <w:t xml:space="preserve">Class </w:t>
      </w:r>
      <w:r w:rsidR="002474C3" w:rsidRPr="00696D87">
        <w:t>(</w:t>
      </w:r>
      <w:r w:rsidR="002474C3">
        <w:rPr>
          <w:i/>
        </w:rPr>
        <w:t>P</w:t>
      </w:r>
      <w:r w:rsidR="002474C3" w:rsidRPr="00696D87">
        <w:t xml:space="preserve"> &lt; .05) an</w:t>
      </w:r>
      <w:r w:rsidR="002474C3" w:rsidRPr="00C65124">
        <w:t xml:space="preserve">d the Mental Health Conditions </w:t>
      </w:r>
      <w:r w:rsidR="00C65124" w:rsidRPr="00C65124">
        <w:t>C</w:t>
      </w:r>
      <w:r w:rsidR="002474C3" w:rsidRPr="00C65124">
        <w:t xml:space="preserve">lass </w:t>
      </w:r>
      <w:r w:rsidR="002474C3" w:rsidRPr="00696D87">
        <w:t>(</w:t>
      </w:r>
      <w:r w:rsidR="002474C3">
        <w:rPr>
          <w:i/>
        </w:rPr>
        <w:t>P</w:t>
      </w:r>
      <w:r w:rsidR="002474C3" w:rsidRPr="00696D87">
        <w:t xml:space="preserve"> &lt; .01). No other race/ethnicity effects w</w:t>
      </w:r>
      <w:r w:rsidR="002474C3">
        <w:t xml:space="preserve">ere significant. </w:t>
      </w:r>
    </w:p>
    <w:p w14:paraId="3DC30E91" w14:textId="77777777" w:rsidR="002474C3" w:rsidRPr="001E01FC" w:rsidRDefault="00BC6C16" w:rsidP="001E01FC">
      <w:pPr>
        <w:rPr>
          <w:b/>
        </w:rPr>
      </w:pPr>
      <w:r w:rsidRPr="001E01FC">
        <w:rPr>
          <w:b/>
        </w:rPr>
        <w:t xml:space="preserve">Appendix </w:t>
      </w:r>
      <w:r w:rsidR="002474C3" w:rsidRPr="001E01FC">
        <w:rPr>
          <w:b/>
        </w:rPr>
        <w:t>References</w:t>
      </w:r>
    </w:p>
    <w:p w14:paraId="7F129708" w14:textId="77777777" w:rsidR="002474C3" w:rsidRPr="00C9179D" w:rsidRDefault="002474C3" w:rsidP="00786452">
      <w:pPr>
        <w:spacing w:after="0"/>
        <w:ind w:left="360" w:hanging="360"/>
        <w:rPr>
          <w:noProof/>
          <w:szCs w:val="24"/>
        </w:rPr>
      </w:pPr>
      <w:bookmarkStart w:id="1" w:name="_ENREF_1"/>
      <w:r>
        <w:rPr>
          <w:noProof/>
          <w:szCs w:val="24"/>
        </w:rPr>
        <w:t xml:space="preserve">1.   </w:t>
      </w:r>
      <w:r w:rsidRPr="00C9179D">
        <w:rPr>
          <w:noProof/>
          <w:szCs w:val="24"/>
        </w:rPr>
        <w:t xml:space="preserve">Hays RD, Bjorner JB, Revicki DA, Spritzer KL, Cella D. Development of physical and mental health summary scores from the </w:t>
      </w:r>
      <w:r w:rsidR="005E4575" w:rsidRPr="00C9179D">
        <w:rPr>
          <w:noProof/>
          <w:szCs w:val="24"/>
        </w:rPr>
        <w:t>Patient-Reported Outcomes Measurement Information Syste</w:t>
      </w:r>
      <w:r w:rsidRPr="00C9179D">
        <w:rPr>
          <w:noProof/>
          <w:szCs w:val="24"/>
        </w:rPr>
        <w:t>m (PROMIS) global items. Qual Life Res 2009;18(7):873</w:t>
      </w:r>
      <w:r w:rsidR="005E4575">
        <w:rPr>
          <w:szCs w:val="24"/>
        </w:rPr>
        <w:t>–</w:t>
      </w:r>
      <w:r w:rsidRPr="00C9179D">
        <w:rPr>
          <w:noProof/>
          <w:szCs w:val="24"/>
        </w:rPr>
        <w:t>80.</w:t>
      </w:r>
      <w:bookmarkEnd w:id="1"/>
    </w:p>
    <w:p w14:paraId="0738FD41" w14:textId="77777777" w:rsidR="002474C3" w:rsidRPr="00C9179D" w:rsidRDefault="002474C3" w:rsidP="00786452">
      <w:pPr>
        <w:spacing w:after="0"/>
        <w:ind w:left="360" w:hanging="360"/>
        <w:rPr>
          <w:noProof/>
          <w:szCs w:val="24"/>
        </w:rPr>
      </w:pPr>
      <w:bookmarkStart w:id="2" w:name="_ENREF_2"/>
      <w:r w:rsidRPr="00C9179D">
        <w:rPr>
          <w:noProof/>
          <w:szCs w:val="24"/>
        </w:rPr>
        <w:t>2.</w:t>
      </w:r>
      <w:r w:rsidRPr="00C9179D">
        <w:rPr>
          <w:noProof/>
          <w:szCs w:val="24"/>
        </w:rPr>
        <w:tab/>
        <w:t>Cella D, Riley W, Stone A, Rothrock N, Reeve B, Yount S, et al. The Patient-Reported Outcomes Measurement Information System (PROMIS) developed and tested its first wave of adult self-reported health outcome item banks: 2005</w:t>
      </w:r>
      <w:r w:rsidR="005E4575">
        <w:rPr>
          <w:szCs w:val="24"/>
        </w:rPr>
        <w:t>–</w:t>
      </w:r>
      <w:r w:rsidRPr="00C9179D">
        <w:rPr>
          <w:noProof/>
          <w:szCs w:val="24"/>
        </w:rPr>
        <w:t>2008. J Clin Epidemiol 2010;63(11):1179</w:t>
      </w:r>
      <w:r w:rsidR="005E4575">
        <w:rPr>
          <w:szCs w:val="24"/>
        </w:rPr>
        <w:t>–</w:t>
      </w:r>
      <w:r w:rsidRPr="00C9179D">
        <w:rPr>
          <w:noProof/>
          <w:szCs w:val="24"/>
        </w:rPr>
        <w:t>94.</w:t>
      </w:r>
      <w:bookmarkEnd w:id="2"/>
    </w:p>
    <w:p w14:paraId="30585718" w14:textId="77777777" w:rsidR="002474C3" w:rsidRPr="00C9179D" w:rsidRDefault="002474C3" w:rsidP="00786452">
      <w:pPr>
        <w:spacing w:after="0"/>
        <w:ind w:left="360" w:hanging="360"/>
        <w:rPr>
          <w:noProof/>
          <w:szCs w:val="24"/>
        </w:rPr>
      </w:pPr>
      <w:bookmarkStart w:id="3" w:name="_ENREF_3"/>
      <w:r w:rsidRPr="00C9179D">
        <w:rPr>
          <w:noProof/>
          <w:szCs w:val="24"/>
        </w:rPr>
        <w:lastRenderedPageBreak/>
        <w:t>3.</w:t>
      </w:r>
      <w:r w:rsidRPr="00C9179D">
        <w:rPr>
          <w:noProof/>
          <w:szCs w:val="24"/>
        </w:rPr>
        <w:tab/>
        <w:t>Centers for Disease Control and Prevention. Measuring Healthy Days. Atlanta</w:t>
      </w:r>
      <w:r w:rsidR="005E4575">
        <w:rPr>
          <w:noProof/>
          <w:szCs w:val="24"/>
        </w:rPr>
        <w:t xml:space="preserve"> (</w:t>
      </w:r>
      <w:r w:rsidRPr="00C9179D">
        <w:rPr>
          <w:noProof/>
          <w:szCs w:val="24"/>
        </w:rPr>
        <w:t>G</w:t>
      </w:r>
      <w:r w:rsidR="005E4575">
        <w:rPr>
          <w:noProof/>
          <w:szCs w:val="24"/>
        </w:rPr>
        <w:t>A):</w:t>
      </w:r>
      <w:r>
        <w:rPr>
          <w:noProof/>
          <w:szCs w:val="24"/>
        </w:rPr>
        <w:t xml:space="preserve"> </w:t>
      </w:r>
      <w:r w:rsidR="005E4575">
        <w:rPr>
          <w:noProof/>
          <w:szCs w:val="24"/>
        </w:rPr>
        <w:t>C</w:t>
      </w:r>
      <w:r w:rsidR="005E4575" w:rsidRPr="00C9179D">
        <w:rPr>
          <w:noProof/>
          <w:szCs w:val="24"/>
        </w:rPr>
        <w:t>enters for</w:t>
      </w:r>
      <w:r w:rsidR="005E4575">
        <w:rPr>
          <w:noProof/>
          <w:szCs w:val="24"/>
        </w:rPr>
        <w:t xml:space="preserve"> Disease Control and Prevention; </w:t>
      </w:r>
      <w:r w:rsidRPr="00C9179D">
        <w:rPr>
          <w:noProof/>
          <w:szCs w:val="24"/>
        </w:rPr>
        <w:t>2000.</w:t>
      </w:r>
      <w:bookmarkEnd w:id="3"/>
    </w:p>
    <w:p w14:paraId="4811FB33" w14:textId="77777777" w:rsidR="002474C3" w:rsidRPr="00C9179D" w:rsidRDefault="002474C3" w:rsidP="00786452">
      <w:pPr>
        <w:spacing w:after="0"/>
        <w:ind w:left="360" w:hanging="360"/>
        <w:rPr>
          <w:noProof/>
          <w:szCs w:val="24"/>
        </w:rPr>
      </w:pPr>
      <w:bookmarkStart w:id="4" w:name="_ENREF_4"/>
      <w:r w:rsidRPr="00C9179D">
        <w:rPr>
          <w:noProof/>
          <w:szCs w:val="24"/>
        </w:rPr>
        <w:t>4.</w:t>
      </w:r>
      <w:r w:rsidRPr="00C9179D">
        <w:rPr>
          <w:noProof/>
          <w:szCs w:val="24"/>
        </w:rPr>
        <w:tab/>
        <w:t>Jiang Y, Hesser JE. Using item response theory to analyze the relationship between health-related quality of life and health risk factors. Prev Chronic Dis 2009;6(1):</w:t>
      </w:r>
      <w:r w:rsidR="005E4575">
        <w:rPr>
          <w:noProof/>
          <w:szCs w:val="24"/>
        </w:rPr>
        <w:t>A30</w:t>
      </w:r>
      <w:r w:rsidRPr="00C9179D">
        <w:rPr>
          <w:noProof/>
          <w:szCs w:val="24"/>
        </w:rPr>
        <w:t>.</w:t>
      </w:r>
      <w:bookmarkEnd w:id="4"/>
    </w:p>
    <w:p w14:paraId="74DEB84E" w14:textId="77777777" w:rsidR="002474C3" w:rsidRPr="00C9179D" w:rsidRDefault="002474C3" w:rsidP="00786452">
      <w:pPr>
        <w:spacing w:after="0"/>
        <w:ind w:left="360" w:hanging="360"/>
        <w:rPr>
          <w:noProof/>
          <w:szCs w:val="24"/>
        </w:rPr>
      </w:pPr>
      <w:bookmarkStart w:id="5" w:name="_ENREF_5"/>
      <w:r w:rsidRPr="00C9179D">
        <w:rPr>
          <w:noProof/>
          <w:szCs w:val="24"/>
        </w:rPr>
        <w:t>5.</w:t>
      </w:r>
      <w:r w:rsidRPr="00C9179D">
        <w:rPr>
          <w:noProof/>
          <w:szCs w:val="24"/>
        </w:rPr>
        <w:tab/>
        <w:t>Mielenz T, Jackson E, Currey S, DeVellis R, Callahan LF. Psychometric properties of the Centers for Disease Control and Prevention Health-Related Quality of Life (CDC HRQOL) items in adults with arthritis. Health Qual Life Outcomes 2006;4:66</w:t>
      </w:r>
      <w:r w:rsidR="005E4575">
        <w:rPr>
          <w:szCs w:val="24"/>
        </w:rPr>
        <w:t>–</w:t>
      </w:r>
      <w:r w:rsidRPr="00C9179D">
        <w:rPr>
          <w:noProof/>
          <w:szCs w:val="24"/>
        </w:rPr>
        <w:t>84.</w:t>
      </w:r>
      <w:bookmarkEnd w:id="5"/>
    </w:p>
    <w:p w14:paraId="1F516DF1" w14:textId="77777777" w:rsidR="002474C3" w:rsidRPr="00C9179D" w:rsidRDefault="002474C3" w:rsidP="00786452">
      <w:pPr>
        <w:spacing w:after="0"/>
        <w:ind w:left="360" w:hanging="360"/>
        <w:rPr>
          <w:noProof/>
          <w:szCs w:val="24"/>
        </w:rPr>
      </w:pPr>
      <w:bookmarkStart w:id="6" w:name="_ENREF_6"/>
      <w:r w:rsidRPr="00C9179D">
        <w:rPr>
          <w:noProof/>
          <w:szCs w:val="24"/>
        </w:rPr>
        <w:t>6.</w:t>
      </w:r>
      <w:r w:rsidRPr="00C9179D">
        <w:rPr>
          <w:noProof/>
          <w:szCs w:val="24"/>
        </w:rPr>
        <w:tab/>
        <w:t xml:space="preserve">Moriarty DG, Kobau R, Zack MM, Zahran HS. Tracking Healthy Days </w:t>
      </w:r>
      <w:r w:rsidR="005E4575">
        <w:rPr>
          <w:noProof/>
          <w:szCs w:val="24"/>
        </w:rPr>
        <w:t>—</w:t>
      </w:r>
      <w:r w:rsidRPr="00C9179D">
        <w:rPr>
          <w:noProof/>
          <w:szCs w:val="24"/>
        </w:rPr>
        <w:t xml:space="preserve"> a window on the health of older adults. Prev Chronic Dis 2005;2(3):A16.</w:t>
      </w:r>
      <w:bookmarkEnd w:id="6"/>
    </w:p>
    <w:p w14:paraId="11F375B8" w14:textId="77777777" w:rsidR="002474C3" w:rsidRPr="00C9179D" w:rsidRDefault="002474C3" w:rsidP="00786452">
      <w:pPr>
        <w:spacing w:after="0"/>
        <w:ind w:left="360" w:hanging="360"/>
        <w:rPr>
          <w:noProof/>
          <w:szCs w:val="24"/>
        </w:rPr>
      </w:pPr>
      <w:bookmarkStart w:id="7" w:name="_ENREF_7"/>
      <w:r w:rsidRPr="00C9179D">
        <w:rPr>
          <w:noProof/>
          <w:szCs w:val="24"/>
        </w:rPr>
        <w:t>7.</w:t>
      </w:r>
      <w:r w:rsidRPr="00C9179D">
        <w:rPr>
          <w:noProof/>
          <w:szCs w:val="24"/>
        </w:rPr>
        <w:tab/>
        <w:t>Moriarty DG, Zack MM, Kobau R. The Centers for Disea</w:t>
      </w:r>
      <w:r w:rsidR="005E4575">
        <w:rPr>
          <w:noProof/>
          <w:szCs w:val="24"/>
        </w:rPr>
        <w:t>se Control and Prevention’</w:t>
      </w:r>
      <w:r w:rsidRPr="00C9179D">
        <w:rPr>
          <w:noProof/>
          <w:szCs w:val="24"/>
        </w:rPr>
        <w:t xml:space="preserve">s Healthy Days Measures </w:t>
      </w:r>
      <w:r w:rsidR="005E4575">
        <w:rPr>
          <w:noProof/>
          <w:szCs w:val="24"/>
        </w:rPr>
        <w:t>—</w:t>
      </w:r>
      <w:r w:rsidRPr="00C9179D">
        <w:rPr>
          <w:noProof/>
          <w:szCs w:val="24"/>
        </w:rPr>
        <w:t xml:space="preserve"> population tracking of perceived physical and mental health over time. Health Qual Life Outcomes 2003;1:37.</w:t>
      </w:r>
      <w:bookmarkEnd w:id="7"/>
    </w:p>
    <w:p w14:paraId="43F7CC0A" w14:textId="77777777" w:rsidR="002474C3" w:rsidRPr="00C9179D" w:rsidRDefault="002474C3" w:rsidP="00786452">
      <w:pPr>
        <w:spacing w:after="0"/>
        <w:ind w:left="360" w:hanging="360"/>
        <w:rPr>
          <w:noProof/>
          <w:szCs w:val="24"/>
        </w:rPr>
      </w:pPr>
      <w:bookmarkStart w:id="8" w:name="_ENREF_8"/>
      <w:r w:rsidRPr="00C9179D">
        <w:rPr>
          <w:noProof/>
          <w:szCs w:val="24"/>
        </w:rPr>
        <w:t>8.</w:t>
      </w:r>
      <w:r w:rsidRPr="00C9179D">
        <w:rPr>
          <w:noProof/>
          <w:szCs w:val="24"/>
        </w:rPr>
        <w:tab/>
        <w:t>Diener E, Emmons RA, Larsen RJ, Griffin S. The</w:t>
      </w:r>
      <w:r w:rsidR="005E4575" w:rsidRPr="00C9179D">
        <w:rPr>
          <w:noProof/>
          <w:szCs w:val="24"/>
        </w:rPr>
        <w:t xml:space="preserve"> Satisfaction With Life Sc</w:t>
      </w:r>
      <w:r w:rsidRPr="00C9179D">
        <w:rPr>
          <w:noProof/>
          <w:szCs w:val="24"/>
        </w:rPr>
        <w:t>ale. J Pers Assess 1985;49:71</w:t>
      </w:r>
      <w:r w:rsidR="005E4575">
        <w:rPr>
          <w:szCs w:val="24"/>
        </w:rPr>
        <w:t>–</w:t>
      </w:r>
      <w:r w:rsidRPr="00C9179D">
        <w:rPr>
          <w:noProof/>
          <w:szCs w:val="24"/>
        </w:rPr>
        <w:t>5.</w:t>
      </w:r>
      <w:bookmarkEnd w:id="8"/>
    </w:p>
    <w:p w14:paraId="145B7E51" w14:textId="77777777" w:rsidR="002474C3" w:rsidRPr="00C9179D" w:rsidRDefault="002474C3" w:rsidP="00786452">
      <w:pPr>
        <w:spacing w:after="0"/>
        <w:ind w:left="360" w:hanging="360"/>
        <w:rPr>
          <w:noProof/>
          <w:szCs w:val="24"/>
        </w:rPr>
      </w:pPr>
      <w:bookmarkStart w:id="9" w:name="_ENREF_9"/>
      <w:r w:rsidRPr="00C9179D">
        <w:rPr>
          <w:noProof/>
          <w:szCs w:val="24"/>
        </w:rPr>
        <w:t>9.</w:t>
      </w:r>
      <w:r w:rsidRPr="00C9179D">
        <w:rPr>
          <w:noProof/>
          <w:szCs w:val="24"/>
        </w:rPr>
        <w:tab/>
        <w:t>Blais MR, Vallerand</w:t>
      </w:r>
      <w:r w:rsidR="00163AFD">
        <w:rPr>
          <w:noProof/>
          <w:szCs w:val="24"/>
        </w:rPr>
        <w:t xml:space="preserve"> RJ, Pelletier LG, Brière NM. L’</w:t>
      </w:r>
      <w:r w:rsidRPr="00C9179D">
        <w:rPr>
          <w:noProof/>
          <w:szCs w:val="24"/>
        </w:rPr>
        <w:t>échelle de satisfaction de vie: Validation canadienne-française du</w:t>
      </w:r>
      <w:r w:rsidR="00163AFD">
        <w:rPr>
          <w:noProof/>
          <w:szCs w:val="24"/>
        </w:rPr>
        <w:t xml:space="preserve"> “</w:t>
      </w:r>
      <w:r w:rsidRPr="00C9179D">
        <w:rPr>
          <w:noProof/>
          <w:szCs w:val="24"/>
        </w:rPr>
        <w:t>Satisfaction with Life Scale.</w:t>
      </w:r>
      <w:r w:rsidR="00163AFD">
        <w:rPr>
          <w:noProof/>
          <w:szCs w:val="24"/>
        </w:rPr>
        <w:t>”</w:t>
      </w:r>
      <w:r w:rsidRPr="00C9179D">
        <w:rPr>
          <w:noProof/>
          <w:szCs w:val="24"/>
        </w:rPr>
        <w:t xml:space="preserve"> Can J Behav Sci 1989;21(2):210</w:t>
      </w:r>
      <w:r w:rsidR="00163AFD">
        <w:rPr>
          <w:szCs w:val="24"/>
        </w:rPr>
        <w:t>–</w:t>
      </w:r>
      <w:r w:rsidRPr="00C9179D">
        <w:rPr>
          <w:noProof/>
          <w:szCs w:val="24"/>
        </w:rPr>
        <w:t>23.</w:t>
      </w:r>
      <w:bookmarkEnd w:id="9"/>
    </w:p>
    <w:p w14:paraId="1509A55F" w14:textId="77777777" w:rsidR="002474C3" w:rsidRPr="00C9179D" w:rsidRDefault="002474C3" w:rsidP="00786452">
      <w:pPr>
        <w:spacing w:after="0"/>
        <w:ind w:left="360" w:hanging="360"/>
        <w:rPr>
          <w:noProof/>
          <w:szCs w:val="24"/>
        </w:rPr>
      </w:pPr>
      <w:bookmarkStart w:id="10" w:name="_ENREF_10"/>
      <w:r w:rsidRPr="00C9179D">
        <w:rPr>
          <w:noProof/>
          <w:szCs w:val="24"/>
        </w:rPr>
        <w:t>10.</w:t>
      </w:r>
      <w:r w:rsidRPr="00C9179D">
        <w:rPr>
          <w:noProof/>
          <w:szCs w:val="24"/>
        </w:rPr>
        <w:tab/>
        <w:t xml:space="preserve">Larsen RJ, Eid M. Ed Diener and the science of subjective well-being. </w:t>
      </w:r>
      <w:r>
        <w:rPr>
          <w:noProof/>
          <w:szCs w:val="24"/>
        </w:rPr>
        <w:t>In:</w:t>
      </w:r>
      <w:r w:rsidR="00163AFD" w:rsidRPr="00163AFD">
        <w:rPr>
          <w:noProof/>
          <w:szCs w:val="24"/>
        </w:rPr>
        <w:t xml:space="preserve"> </w:t>
      </w:r>
      <w:r w:rsidR="00163AFD">
        <w:rPr>
          <w:noProof/>
          <w:szCs w:val="24"/>
        </w:rPr>
        <w:t>Eid M, Larsen RJ, editors.</w:t>
      </w:r>
      <w:r>
        <w:rPr>
          <w:noProof/>
          <w:szCs w:val="24"/>
        </w:rPr>
        <w:t xml:space="preserve"> The </w:t>
      </w:r>
      <w:r w:rsidR="00163AFD">
        <w:rPr>
          <w:noProof/>
          <w:szCs w:val="24"/>
        </w:rPr>
        <w:t xml:space="preserve">science of subjective well-being. </w:t>
      </w:r>
      <w:r w:rsidRPr="00C9179D">
        <w:rPr>
          <w:noProof/>
          <w:szCs w:val="24"/>
        </w:rPr>
        <w:t>New York</w:t>
      </w:r>
      <w:r w:rsidR="00163AFD">
        <w:rPr>
          <w:noProof/>
          <w:szCs w:val="24"/>
        </w:rPr>
        <w:t xml:space="preserve"> (NY)</w:t>
      </w:r>
      <w:r>
        <w:rPr>
          <w:noProof/>
          <w:szCs w:val="24"/>
        </w:rPr>
        <w:t>: Guilford Publications, Inc</w:t>
      </w:r>
      <w:r w:rsidR="00163AFD">
        <w:rPr>
          <w:noProof/>
          <w:szCs w:val="24"/>
        </w:rPr>
        <w:t>;</w:t>
      </w:r>
      <w:r>
        <w:rPr>
          <w:noProof/>
          <w:szCs w:val="24"/>
        </w:rPr>
        <w:t xml:space="preserve"> </w:t>
      </w:r>
      <w:r w:rsidRPr="00C9179D">
        <w:rPr>
          <w:noProof/>
          <w:szCs w:val="24"/>
        </w:rPr>
        <w:t>2008</w:t>
      </w:r>
      <w:r>
        <w:rPr>
          <w:noProof/>
          <w:szCs w:val="24"/>
        </w:rPr>
        <w:t>:1</w:t>
      </w:r>
      <w:r w:rsidR="00163AFD">
        <w:rPr>
          <w:szCs w:val="24"/>
        </w:rPr>
        <w:t>–</w:t>
      </w:r>
      <w:r>
        <w:rPr>
          <w:noProof/>
          <w:szCs w:val="24"/>
        </w:rPr>
        <w:t>13</w:t>
      </w:r>
      <w:r w:rsidRPr="00C9179D">
        <w:rPr>
          <w:noProof/>
          <w:szCs w:val="24"/>
        </w:rPr>
        <w:t>.</w:t>
      </w:r>
      <w:bookmarkEnd w:id="10"/>
    </w:p>
    <w:p w14:paraId="2E19ECFA" w14:textId="77777777" w:rsidR="002474C3" w:rsidRPr="00C9179D" w:rsidRDefault="002474C3" w:rsidP="00786452">
      <w:pPr>
        <w:spacing w:after="0"/>
        <w:ind w:left="360" w:hanging="360"/>
        <w:rPr>
          <w:noProof/>
          <w:szCs w:val="24"/>
        </w:rPr>
      </w:pPr>
      <w:bookmarkStart w:id="11" w:name="_ENREF_11"/>
      <w:r w:rsidRPr="00C9179D">
        <w:rPr>
          <w:noProof/>
          <w:szCs w:val="24"/>
        </w:rPr>
        <w:t>11.</w:t>
      </w:r>
      <w:r w:rsidRPr="00C9179D">
        <w:rPr>
          <w:noProof/>
          <w:szCs w:val="24"/>
        </w:rPr>
        <w:tab/>
        <w:t>Magnus K, Diener E, Fujita F, Pavot W. Extraversion and neuroticism as predictors of objective life events: a longitudinal analy</w:t>
      </w:r>
      <w:r w:rsidR="00163AFD">
        <w:rPr>
          <w:noProof/>
          <w:szCs w:val="24"/>
        </w:rPr>
        <w:t>sis. J Pers Social Psychol 1993</w:t>
      </w:r>
      <w:r w:rsidRPr="00C9179D">
        <w:rPr>
          <w:noProof/>
          <w:szCs w:val="24"/>
        </w:rPr>
        <w:t>;65(5):1046</w:t>
      </w:r>
      <w:r w:rsidR="00163AFD">
        <w:rPr>
          <w:szCs w:val="24"/>
        </w:rPr>
        <w:t>–</w:t>
      </w:r>
      <w:r w:rsidRPr="00C9179D">
        <w:rPr>
          <w:noProof/>
          <w:szCs w:val="24"/>
        </w:rPr>
        <w:t>53.</w:t>
      </w:r>
      <w:bookmarkEnd w:id="11"/>
    </w:p>
    <w:p w14:paraId="33A506E4" w14:textId="77777777" w:rsidR="002474C3" w:rsidRPr="00C9179D" w:rsidRDefault="002474C3" w:rsidP="00786452">
      <w:pPr>
        <w:spacing w:after="0"/>
        <w:ind w:left="360" w:hanging="360"/>
        <w:rPr>
          <w:noProof/>
          <w:szCs w:val="24"/>
        </w:rPr>
      </w:pPr>
      <w:bookmarkStart w:id="12" w:name="_ENREF_12"/>
      <w:r w:rsidRPr="00C9179D">
        <w:rPr>
          <w:noProof/>
          <w:szCs w:val="24"/>
        </w:rPr>
        <w:lastRenderedPageBreak/>
        <w:t>12.</w:t>
      </w:r>
      <w:r w:rsidRPr="00C9179D">
        <w:rPr>
          <w:noProof/>
          <w:szCs w:val="24"/>
        </w:rPr>
        <w:tab/>
        <w:t xml:space="preserve">Pavot W. The assessment of subjective well-being. </w:t>
      </w:r>
      <w:r>
        <w:rPr>
          <w:noProof/>
          <w:szCs w:val="24"/>
        </w:rPr>
        <w:t xml:space="preserve">In: </w:t>
      </w:r>
      <w:r w:rsidR="00163AFD">
        <w:rPr>
          <w:noProof/>
          <w:szCs w:val="24"/>
        </w:rPr>
        <w:t xml:space="preserve">Eid M, Larsen RJ, editors. The science of subjective well-being. </w:t>
      </w:r>
      <w:r w:rsidR="00163AFD" w:rsidRPr="00C9179D">
        <w:rPr>
          <w:noProof/>
          <w:szCs w:val="24"/>
        </w:rPr>
        <w:t>New York</w:t>
      </w:r>
      <w:r w:rsidR="00163AFD">
        <w:rPr>
          <w:noProof/>
          <w:szCs w:val="24"/>
        </w:rPr>
        <w:t xml:space="preserve"> (NY): Guilford Publications, Inc; </w:t>
      </w:r>
      <w:r w:rsidR="00163AFD" w:rsidRPr="00C9179D">
        <w:rPr>
          <w:noProof/>
          <w:szCs w:val="24"/>
        </w:rPr>
        <w:t>2008</w:t>
      </w:r>
      <w:r>
        <w:rPr>
          <w:noProof/>
          <w:szCs w:val="24"/>
        </w:rPr>
        <w:t>:124</w:t>
      </w:r>
      <w:r w:rsidR="00163AFD">
        <w:rPr>
          <w:szCs w:val="24"/>
        </w:rPr>
        <w:t>–</w:t>
      </w:r>
      <w:r>
        <w:rPr>
          <w:noProof/>
          <w:szCs w:val="24"/>
        </w:rPr>
        <w:t>140</w:t>
      </w:r>
      <w:r w:rsidRPr="00C9179D">
        <w:rPr>
          <w:noProof/>
          <w:szCs w:val="24"/>
        </w:rPr>
        <w:t>.</w:t>
      </w:r>
      <w:bookmarkEnd w:id="12"/>
    </w:p>
    <w:p w14:paraId="5D062B06" w14:textId="77777777" w:rsidR="002474C3" w:rsidRPr="00C9179D" w:rsidRDefault="002474C3" w:rsidP="00786452">
      <w:pPr>
        <w:spacing w:after="0"/>
        <w:ind w:left="360" w:hanging="360"/>
        <w:rPr>
          <w:noProof/>
          <w:szCs w:val="24"/>
        </w:rPr>
      </w:pPr>
      <w:bookmarkStart w:id="13" w:name="_ENREF_13"/>
      <w:r w:rsidRPr="00C9179D">
        <w:rPr>
          <w:noProof/>
          <w:szCs w:val="24"/>
        </w:rPr>
        <w:t>13.</w:t>
      </w:r>
      <w:r w:rsidRPr="00C9179D">
        <w:rPr>
          <w:noProof/>
          <w:szCs w:val="24"/>
        </w:rPr>
        <w:tab/>
        <w:t>Pavot W, Diener E. The</w:t>
      </w:r>
      <w:r w:rsidR="00163AFD" w:rsidRPr="00C9179D">
        <w:rPr>
          <w:noProof/>
          <w:szCs w:val="24"/>
        </w:rPr>
        <w:t xml:space="preserve"> Satisfaction With Life S</w:t>
      </w:r>
      <w:r w:rsidRPr="00C9179D">
        <w:rPr>
          <w:noProof/>
          <w:szCs w:val="24"/>
        </w:rPr>
        <w:t>cale and the emerging construct of life satisfaction. J Positive Psychol 2008;3(2):137</w:t>
      </w:r>
      <w:r w:rsidR="00163AFD">
        <w:rPr>
          <w:szCs w:val="24"/>
        </w:rPr>
        <w:t>–</w:t>
      </w:r>
      <w:r w:rsidRPr="00C9179D">
        <w:rPr>
          <w:noProof/>
          <w:szCs w:val="24"/>
        </w:rPr>
        <w:t>52.</w:t>
      </w:r>
      <w:bookmarkEnd w:id="13"/>
    </w:p>
    <w:p w14:paraId="50AD68FC" w14:textId="77777777" w:rsidR="002474C3" w:rsidRPr="00C9179D" w:rsidRDefault="002474C3" w:rsidP="00786452">
      <w:pPr>
        <w:spacing w:after="0"/>
        <w:ind w:left="360" w:hanging="360"/>
        <w:rPr>
          <w:noProof/>
          <w:szCs w:val="24"/>
        </w:rPr>
      </w:pPr>
      <w:bookmarkStart w:id="14" w:name="_ENREF_14"/>
      <w:r w:rsidRPr="00C9179D">
        <w:rPr>
          <w:noProof/>
          <w:szCs w:val="24"/>
        </w:rPr>
        <w:t>14.</w:t>
      </w:r>
      <w:r w:rsidRPr="00C9179D">
        <w:rPr>
          <w:noProof/>
          <w:szCs w:val="24"/>
        </w:rPr>
        <w:tab/>
        <w:t xml:space="preserve">Pavot W, Diener E, Colvin CR, Sandvik E. Further </w:t>
      </w:r>
      <w:r w:rsidR="00163AFD">
        <w:rPr>
          <w:noProof/>
          <w:szCs w:val="24"/>
        </w:rPr>
        <w:t>validation of the Satisfaction W</w:t>
      </w:r>
      <w:r w:rsidRPr="00C9179D">
        <w:rPr>
          <w:noProof/>
          <w:szCs w:val="24"/>
        </w:rPr>
        <w:t xml:space="preserve">ith Life Scale: </w:t>
      </w:r>
      <w:r w:rsidR="00163AFD">
        <w:rPr>
          <w:noProof/>
          <w:szCs w:val="24"/>
        </w:rPr>
        <w:t>e</w:t>
      </w:r>
      <w:r w:rsidRPr="00C9179D">
        <w:rPr>
          <w:noProof/>
          <w:szCs w:val="24"/>
        </w:rPr>
        <w:t>vidence for the cross-method convergence of well-being measures. J Pers Assess 1991;57:149</w:t>
      </w:r>
      <w:r w:rsidR="00163AFD">
        <w:rPr>
          <w:szCs w:val="24"/>
        </w:rPr>
        <w:t>–</w:t>
      </w:r>
      <w:r w:rsidRPr="00C9179D">
        <w:rPr>
          <w:noProof/>
          <w:szCs w:val="24"/>
        </w:rPr>
        <w:t>61.</w:t>
      </w:r>
      <w:bookmarkEnd w:id="14"/>
    </w:p>
    <w:p w14:paraId="27A1634A" w14:textId="77777777" w:rsidR="002474C3" w:rsidRPr="00C9179D" w:rsidRDefault="002474C3" w:rsidP="00786452">
      <w:pPr>
        <w:spacing w:after="0"/>
        <w:ind w:left="360" w:hanging="360"/>
        <w:rPr>
          <w:noProof/>
          <w:szCs w:val="24"/>
        </w:rPr>
      </w:pPr>
      <w:bookmarkStart w:id="15" w:name="_ENREF_15"/>
      <w:r w:rsidRPr="00C9179D">
        <w:rPr>
          <w:noProof/>
          <w:szCs w:val="24"/>
        </w:rPr>
        <w:t>15.</w:t>
      </w:r>
      <w:r w:rsidRPr="00C9179D">
        <w:rPr>
          <w:noProof/>
          <w:szCs w:val="24"/>
        </w:rPr>
        <w:tab/>
        <w:t>Kobau R, Sniezek J, Zack MM, Lucas RE, B</w:t>
      </w:r>
      <w:r w:rsidR="00163AFD">
        <w:rPr>
          <w:noProof/>
          <w:szCs w:val="24"/>
        </w:rPr>
        <w:t>urns A. Well-being assessment: a</w:t>
      </w:r>
      <w:r w:rsidRPr="00C9179D">
        <w:rPr>
          <w:noProof/>
          <w:szCs w:val="24"/>
        </w:rPr>
        <w:t>n evaluation of well-being scales for public health and population estimates of well-being among US adults. Appl Psychol: Health Well</w:t>
      </w:r>
      <w:r>
        <w:rPr>
          <w:noProof/>
          <w:szCs w:val="24"/>
        </w:rPr>
        <w:t xml:space="preserve"> </w:t>
      </w:r>
      <w:r w:rsidRPr="00C9179D">
        <w:rPr>
          <w:noProof/>
          <w:szCs w:val="24"/>
        </w:rPr>
        <w:t>Being 2010;2:272</w:t>
      </w:r>
      <w:r w:rsidR="00163AFD">
        <w:rPr>
          <w:szCs w:val="24"/>
        </w:rPr>
        <w:t>–</w:t>
      </w:r>
      <w:r w:rsidRPr="00C9179D">
        <w:rPr>
          <w:noProof/>
          <w:szCs w:val="24"/>
        </w:rPr>
        <w:t>97.</w:t>
      </w:r>
      <w:bookmarkEnd w:id="15"/>
    </w:p>
    <w:p w14:paraId="239C9E2B" w14:textId="4004A7DD" w:rsidR="00F71E95" w:rsidRDefault="002474C3" w:rsidP="00B8126B">
      <w:pPr>
        <w:spacing w:after="0"/>
        <w:ind w:left="360" w:hanging="360"/>
        <w:rPr>
          <w:noProof/>
        </w:rPr>
      </w:pPr>
      <w:bookmarkStart w:id="16" w:name="_ENREF_16"/>
      <w:r w:rsidRPr="00C9179D">
        <w:rPr>
          <w:noProof/>
          <w:szCs w:val="24"/>
        </w:rPr>
        <w:t>16.</w:t>
      </w:r>
      <w:r w:rsidRPr="00C9179D">
        <w:rPr>
          <w:noProof/>
          <w:szCs w:val="24"/>
        </w:rPr>
        <w:tab/>
        <w:t xml:space="preserve">US Department of Health Human Services. </w:t>
      </w:r>
      <w:r>
        <w:rPr>
          <w:noProof/>
          <w:szCs w:val="24"/>
        </w:rPr>
        <w:t xml:space="preserve"> 2008 </w:t>
      </w:r>
      <w:r w:rsidRPr="00C9179D">
        <w:rPr>
          <w:noProof/>
          <w:szCs w:val="24"/>
        </w:rPr>
        <w:t>Physical activity guidelines for Americans.</w:t>
      </w:r>
      <w:bookmarkEnd w:id="16"/>
      <w:r>
        <w:rPr>
          <w:noProof/>
          <w:szCs w:val="24"/>
        </w:rPr>
        <w:t xml:space="preserve"> </w:t>
      </w:r>
      <w:r w:rsidRPr="00405BFA">
        <w:rPr>
          <w:noProof/>
          <w:szCs w:val="24"/>
        </w:rPr>
        <w:t>http://www.health.gov/paguidelines/pdf/paguide.pdf</w:t>
      </w:r>
      <w:r w:rsidR="00163AFD">
        <w:rPr>
          <w:noProof/>
          <w:szCs w:val="24"/>
        </w:rPr>
        <w:t>. A</w:t>
      </w:r>
      <w:r>
        <w:rPr>
          <w:noProof/>
          <w:szCs w:val="24"/>
        </w:rPr>
        <w:t xml:space="preserve">ccessed February </w:t>
      </w:r>
      <w:r w:rsidR="00163AFD">
        <w:rPr>
          <w:noProof/>
          <w:szCs w:val="24"/>
        </w:rPr>
        <w:t xml:space="preserve">8, </w:t>
      </w:r>
      <w:r w:rsidR="003A4D6F">
        <w:rPr>
          <w:noProof/>
          <w:szCs w:val="24"/>
        </w:rPr>
        <w:t>2015</w:t>
      </w:r>
      <w:r>
        <w:rPr>
          <w:noProof/>
          <w:szCs w:val="24"/>
        </w:rPr>
        <w:t>.</w:t>
      </w:r>
      <w:r w:rsidR="00B8126B">
        <w:rPr>
          <w:noProof/>
        </w:rPr>
        <w:t xml:space="preserve"> </w:t>
      </w:r>
    </w:p>
    <w:p w14:paraId="4A6CAACB" w14:textId="68AAB131" w:rsidR="006B2048" w:rsidRDefault="00056528" w:rsidP="00266ACF">
      <w:pPr>
        <w:spacing w:after="0"/>
        <w:ind w:left="360" w:hanging="360"/>
        <w:rPr>
          <w:szCs w:val="24"/>
        </w:rPr>
      </w:pPr>
      <w:r>
        <w:rPr>
          <w:noProof/>
        </w:rPr>
        <w:lastRenderedPageBreak/>
        <w:drawing>
          <wp:inline distT="0" distB="0" distL="0" distR="0" wp14:anchorId="00B1E03F" wp14:editId="42F483FD">
            <wp:extent cx="5943600" cy="5917565"/>
            <wp:effectExtent l="0" t="0" r="0" b="6985"/>
            <wp:docPr id="1" name="Chart 1" descr="This Figure’s findings mirror those described in the Figure of the article text but make it easier to identify differences between classes for low prevalence conditions, such as epilepsy and cancer." title="Appendix 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C6C16">
        <w:rPr>
          <w:szCs w:val="24"/>
        </w:rPr>
        <w:t xml:space="preserve">Appendix </w:t>
      </w:r>
      <w:r w:rsidR="006A752B">
        <w:rPr>
          <w:szCs w:val="24"/>
        </w:rPr>
        <w:t xml:space="preserve">Figure </w:t>
      </w:r>
      <w:r w:rsidR="005E4956">
        <w:rPr>
          <w:szCs w:val="24"/>
        </w:rPr>
        <w:t>1.</w:t>
      </w:r>
      <w:r w:rsidR="006B2048" w:rsidRPr="003F5364">
        <w:rPr>
          <w:szCs w:val="24"/>
        </w:rPr>
        <w:t xml:space="preserve"> </w:t>
      </w:r>
      <w:r w:rsidR="006B2048">
        <w:rPr>
          <w:szCs w:val="24"/>
        </w:rPr>
        <w:t>T</w:t>
      </w:r>
      <w:r w:rsidR="006B2048" w:rsidRPr="006B2048">
        <w:rPr>
          <w:szCs w:val="24"/>
        </w:rPr>
        <w:t>he proportion of respondents that reported a history of each condition by class (ie, the percentage of respondents that accounted for the total number of reported cases</w:t>
      </w:r>
      <w:r w:rsidR="00DF2D90">
        <w:rPr>
          <w:szCs w:val="24"/>
        </w:rPr>
        <w:t xml:space="preserve"> for each condition)</w:t>
      </w:r>
      <w:r w:rsidR="00A1635E">
        <w:rPr>
          <w:szCs w:val="24"/>
        </w:rPr>
        <w:t xml:space="preserve"> in analysis of </w:t>
      </w:r>
      <w:r w:rsidR="00A1635E" w:rsidRPr="00A1635E">
        <w:rPr>
          <w:szCs w:val="24"/>
        </w:rPr>
        <w:t>chronic conditions and their associations with behaviors and quality of life, 2010</w:t>
      </w:r>
      <w:r w:rsidR="00DF2D90">
        <w:rPr>
          <w:szCs w:val="24"/>
        </w:rPr>
        <w:t xml:space="preserve">. </w:t>
      </w:r>
      <w:r w:rsidR="006B2048" w:rsidRPr="006B2048">
        <w:rPr>
          <w:szCs w:val="24"/>
        </w:rPr>
        <w:t xml:space="preserve">All probabilities were adjusted for age, race/ethnicity, </w:t>
      </w:r>
      <w:r w:rsidR="00266ACF">
        <w:rPr>
          <w:szCs w:val="24"/>
        </w:rPr>
        <w:t>sex</w:t>
      </w:r>
      <w:r w:rsidR="006B2048" w:rsidRPr="006B2048">
        <w:rPr>
          <w:szCs w:val="24"/>
        </w:rPr>
        <w:t>, and yearly household income.</w:t>
      </w:r>
      <w:r w:rsidR="00A1635E">
        <w:rPr>
          <w:szCs w:val="24"/>
        </w:rPr>
        <w:t xml:space="preserve"> Abbreviations: Abbreviations: MI, myocardial infarction; COPD, chronic obstructive pulmonary disease</w:t>
      </w:r>
      <w:r w:rsidR="00720FF5">
        <w:rPr>
          <w:szCs w:val="24"/>
        </w:rPr>
        <w:t>.</w:t>
      </w:r>
    </w:p>
    <w:p w14:paraId="45E0F90D" w14:textId="07E85F6E" w:rsidR="00785A30" w:rsidRPr="003F5364" w:rsidRDefault="00BC5374" w:rsidP="00266ACF">
      <w:pPr>
        <w:spacing w:after="0"/>
        <w:contextualSpacing/>
      </w:pPr>
      <w:r>
        <w:rPr>
          <w:noProof/>
          <w:szCs w:val="24"/>
        </w:rPr>
        <w:lastRenderedPageBreak/>
        <w:drawing>
          <wp:inline distT="0" distB="0" distL="0" distR="0" wp14:anchorId="442E67EA" wp14:editId="21D609BE">
            <wp:extent cx="5954679" cy="4029075"/>
            <wp:effectExtent l="0" t="0" r="8255" b="0"/>
            <wp:docPr id="9" name="Picture 9" descr="There was a strong increase in the probability of being in the Healthy Class as an individual's income increased from less than $5,000 annually to over $300,000 annually. The probability of being in the Physical Health Conditions class or the Mental Health Conditions class decreased slightly as annual income increased. There was a strong decrease in the probability of being in the Physical and Mental Health Conditions class as annual income increased." title="Appendix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679" cy="4029075"/>
                    </a:xfrm>
                    <a:prstGeom prst="rect">
                      <a:avLst/>
                    </a:prstGeom>
                    <a:noFill/>
                  </pic:spPr>
                </pic:pic>
              </a:graphicData>
            </a:graphic>
          </wp:inline>
        </w:drawing>
      </w:r>
      <w:r w:rsidR="00BC6C16">
        <w:rPr>
          <w:szCs w:val="24"/>
        </w:rPr>
        <w:t xml:space="preserve">Appendix </w:t>
      </w:r>
      <w:r w:rsidR="006A752B">
        <w:rPr>
          <w:szCs w:val="24"/>
        </w:rPr>
        <w:t xml:space="preserve">Figure </w:t>
      </w:r>
      <w:r w:rsidR="005E4956">
        <w:rPr>
          <w:szCs w:val="24"/>
        </w:rPr>
        <w:t>2</w:t>
      </w:r>
      <w:r w:rsidR="002474C3" w:rsidRPr="003F5364">
        <w:rPr>
          <w:szCs w:val="24"/>
        </w:rPr>
        <w:t xml:space="preserve">. Estimated probability of class membership as a function of </w:t>
      </w:r>
      <w:r w:rsidR="002474C3">
        <w:rPr>
          <w:szCs w:val="24"/>
        </w:rPr>
        <w:t xml:space="preserve">yearly household </w:t>
      </w:r>
      <w:r w:rsidR="002474C3" w:rsidRPr="003F5364">
        <w:rPr>
          <w:szCs w:val="24"/>
        </w:rPr>
        <w:t xml:space="preserve">income while adjusting for age, race, and </w:t>
      </w:r>
      <w:r w:rsidR="00266ACF">
        <w:rPr>
          <w:szCs w:val="24"/>
        </w:rPr>
        <w:t>sex</w:t>
      </w:r>
      <w:r w:rsidR="004227B6">
        <w:rPr>
          <w:szCs w:val="24"/>
        </w:rPr>
        <w:t xml:space="preserve"> in analysis of </w:t>
      </w:r>
      <w:r w:rsidR="004227B6" w:rsidRPr="00A1635E">
        <w:rPr>
          <w:szCs w:val="24"/>
        </w:rPr>
        <w:t>chronic conditions and their associations with behaviors and quality of life, 2010</w:t>
      </w:r>
      <w:r w:rsidR="004227B6">
        <w:rPr>
          <w:szCs w:val="24"/>
        </w:rPr>
        <w:t>.</w:t>
      </w:r>
    </w:p>
    <w:p w14:paraId="62BF3040" w14:textId="77777777" w:rsidR="002474C3" w:rsidRPr="00785A30" w:rsidRDefault="00BC5374" w:rsidP="00786452">
      <w:pPr>
        <w:contextualSpacing/>
      </w:pPr>
      <w:r>
        <w:rPr>
          <w:noProof/>
        </w:rPr>
        <w:lastRenderedPageBreak/>
        <w:drawing>
          <wp:inline distT="0" distB="0" distL="0" distR="0" wp14:anchorId="423D1399" wp14:editId="746F6136">
            <wp:extent cx="5934075" cy="3383696"/>
            <wp:effectExtent l="0" t="0" r="0" b="7620"/>
            <wp:docPr id="14" name="Picture 14" descr="There was a strong decrease in the probability of being in the Healthy class as an individuals’ age increases from age 18-24 to age 65 or older. The probability of being in the Physical Health Conditions class strongly increased with age and there was a slight increase in the probability of being in the Physical and Mental Health Conditions class with age. There was a slight decrease in the probability of being in the MHC with age." title="Appendix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559" cy="3381691"/>
                    </a:xfrm>
                    <a:prstGeom prst="rect">
                      <a:avLst/>
                    </a:prstGeom>
                    <a:noFill/>
                  </pic:spPr>
                </pic:pic>
              </a:graphicData>
            </a:graphic>
          </wp:inline>
        </w:drawing>
      </w:r>
    </w:p>
    <w:p w14:paraId="78DB6972" w14:textId="14694449" w:rsidR="004227B6" w:rsidRDefault="00BC6C16" w:rsidP="004227B6">
      <w:pPr>
        <w:contextualSpacing/>
        <w:rPr>
          <w:szCs w:val="24"/>
        </w:rPr>
      </w:pPr>
      <w:r>
        <w:rPr>
          <w:szCs w:val="24"/>
        </w:rPr>
        <w:t>Appendix Figure</w:t>
      </w:r>
      <w:r w:rsidR="005E4956">
        <w:rPr>
          <w:szCs w:val="24"/>
        </w:rPr>
        <w:t xml:space="preserve"> 3</w:t>
      </w:r>
      <w:r w:rsidR="002474C3" w:rsidRPr="003F5364">
        <w:rPr>
          <w:szCs w:val="24"/>
        </w:rPr>
        <w:t>. Estimated probability of class membership as a function of age while adjusti</w:t>
      </w:r>
      <w:r w:rsidR="002474C3">
        <w:rPr>
          <w:szCs w:val="24"/>
        </w:rPr>
        <w:t xml:space="preserve">ng for yearly household income, race, and </w:t>
      </w:r>
      <w:r w:rsidR="00266ACF">
        <w:rPr>
          <w:szCs w:val="24"/>
        </w:rPr>
        <w:t>sex</w:t>
      </w:r>
      <w:r w:rsidR="004227B6">
        <w:rPr>
          <w:szCs w:val="24"/>
        </w:rPr>
        <w:t xml:space="preserve"> in analysis of </w:t>
      </w:r>
      <w:r w:rsidR="004227B6" w:rsidRPr="00A1635E">
        <w:rPr>
          <w:szCs w:val="24"/>
        </w:rPr>
        <w:t>chronic conditions and their associations with behaviors and quality of life, 2010</w:t>
      </w:r>
      <w:r w:rsidR="004227B6">
        <w:rPr>
          <w:szCs w:val="24"/>
        </w:rPr>
        <w:t>.</w:t>
      </w:r>
      <w:r w:rsidR="004227B6">
        <w:rPr>
          <w:szCs w:val="24"/>
        </w:rPr>
        <w:br w:type="page"/>
      </w:r>
    </w:p>
    <w:p w14:paraId="6A9F425D" w14:textId="7AC1D814" w:rsidR="004227B6" w:rsidRDefault="00BC5374" w:rsidP="004227B6">
      <w:pPr>
        <w:contextualSpacing/>
        <w:rPr>
          <w:szCs w:val="24"/>
        </w:rPr>
      </w:pPr>
      <w:r>
        <w:rPr>
          <w:noProof/>
        </w:rPr>
        <w:lastRenderedPageBreak/>
        <w:drawing>
          <wp:inline distT="0" distB="0" distL="0" distR="0" wp14:anchorId="0BCC807B" wp14:editId="77838C93">
            <wp:extent cx="5936742" cy="3219450"/>
            <wp:effectExtent l="0" t="0" r="6985" b="0"/>
            <wp:docPr id="15" name="Picture 15" descr="Males had a higher probability than females of being in the Physical Health Conditions class but a lower probability of being in the Mental Health Conditions class. Females had a slightly higher probability of being in the Healthy class or the Physical and Mental Health Conditions class than males." title="Appendix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8864" cy="3220601"/>
                    </a:xfrm>
                    <a:prstGeom prst="rect">
                      <a:avLst/>
                    </a:prstGeom>
                    <a:noFill/>
                  </pic:spPr>
                </pic:pic>
              </a:graphicData>
            </a:graphic>
          </wp:inline>
        </w:drawing>
      </w:r>
      <w:r w:rsidR="00BC6C16">
        <w:rPr>
          <w:szCs w:val="24"/>
        </w:rPr>
        <w:t>Appendix Figure</w:t>
      </w:r>
      <w:r w:rsidR="006A752B">
        <w:rPr>
          <w:szCs w:val="24"/>
        </w:rPr>
        <w:t xml:space="preserve"> </w:t>
      </w:r>
      <w:r w:rsidR="005E4956">
        <w:rPr>
          <w:szCs w:val="24"/>
        </w:rPr>
        <w:t>4</w:t>
      </w:r>
      <w:r w:rsidR="002474C3" w:rsidRPr="003F5364">
        <w:rPr>
          <w:szCs w:val="24"/>
        </w:rPr>
        <w:t xml:space="preserve">. Estimated probability of class membership as a function of </w:t>
      </w:r>
      <w:r w:rsidR="00266ACF">
        <w:rPr>
          <w:szCs w:val="24"/>
        </w:rPr>
        <w:t>sex</w:t>
      </w:r>
      <w:r w:rsidR="002474C3" w:rsidRPr="003F5364">
        <w:rPr>
          <w:szCs w:val="24"/>
        </w:rPr>
        <w:t xml:space="preserve"> while adju</w:t>
      </w:r>
      <w:r w:rsidR="002474C3">
        <w:rPr>
          <w:szCs w:val="24"/>
        </w:rPr>
        <w:t>sting for age, race, and yearly household income</w:t>
      </w:r>
      <w:r w:rsidR="004227B6">
        <w:rPr>
          <w:szCs w:val="24"/>
        </w:rPr>
        <w:t xml:space="preserve"> in analysis of </w:t>
      </w:r>
      <w:r w:rsidR="004227B6" w:rsidRPr="00A1635E">
        <w:rPr>
          <w:szCs w:val="24"/>
        </w:rPr>
        <w:t>chronic conditions and their associations with behaviors and quality of life, 2010</w:t>
      </w:r>
      <w:r w:rsidR="004227B6">
        <w:rPr>
          <w:szCs w:val="24"/>
        </w:rPr>
        <w:t>.</w:t>
      </w:r>
      <w:r w:rsidR="004227B6">
        <w:rPr>
          <w:szCs w:val="24"/>
        </w:rPr>
        <w:br w:type="page"/>
      </w:r>
    </w:p>
    <w:p w14:paraId="7EF5A492" w14:textId="40E03932" w:rsidR="002474C3" w:rsidRPr="00216E38" w:rsidRDefault="00216E38" w:rsidP="00786452">
      <w:pPr>
        <w:contextualSpacing/>
      </w:pPr>
      <w:r>
        <w:rPr>
          <w:noProof/>
        </w:rPr>
        <w:lastRenderedPageBreak/>
        <w:drawing>
          <wp:inline distT="0" distB="0" distL="0" distR="0" wp14:anchorId="5222D4B4" wp14:editId="2DD45F98">
            <wp:extent cx="5915025" cy="3104407"/>
            <wp:effectExtent l="0" t="0" r="0" b="1270"/>
            <wp:docPr id="16" name="Picture 16" descr="White individuals had the highest probability of being in the Healthy class, followed by Latino, black and other race/ethnicity. Black individuals had the highest probability of being in the Physical Health Conditions class, followed by white, other race/ethnicity, and Latino. Latino individuals had the highest probability of being in the Mental Health Conditions class, followed by other race/ethnicity, white, and black. Other race/ethnicity had the highest probability of being in the Physical and Mental Health Conditions class, followed by Latino, white, and black." title="Appendix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3240" cy="3108719"/>
                    </a:xfrm>
                    <a:prstGeom prst="rect">
                      <a:avLst/>
                    </a:prstGeom>
                    <a:noFill/>
                  </pic:spPr>
                </pic:pic>
              </a:graphicData>
            </a:graphic>
          </wp:inline>
        </w:drawing>
      </w:r>
      <w:r w:rsidR="00BC6C16">
        <w:rPr>
          <w:szCs w:val="24"/>
        </w:rPr>
        <w:t>Appendix Figure</w:t>
      </w:r>
      <w:r w:rsidR="006A752B">
        <w:rPr>
          <w:szCs w:val="24"/>
        </w:rPr>
        <w:t xml:space="preserve"> </w:t>
      </w:r>
      <w:r w:rsidR="005E4956">
        <w:rPr>
          <w:szCs w:val="24"/>
        </w:rPr>
        <w:t>5</w:t>
      </w:r>
      <w:r w:rsidR="002474C3" w:rsidRPr="003F5364">
        <w:rPr>
          <w:szCs w:val="24"/>
        </w:rPr>
        <w:t xml:space="preserve">. Estimated probability of class membership as a function of race/ethnicity while adjusting for age, </w:t>
      </w:r>
      <w:r w:rsidR="002474C3">
        <w:rPr>
          <w:szCs w:val="24"/>
        </w:rPr>
        <w:t xml:space="preserve">yearly household </w:t>
      </w:r>
      <w:r w:rsidR="002474C3" w:rsidRPr="003F5364">
        <w:rPr>
          <w:szCs w:val="24"/>
        </w:rPr>
        <w:t xml:space="preserve">income, and </w:t>
      </w:r>
      <w:r w:rsidR="00266ACF">
        <w:rPr>
          <w:szCs w:val="24"/>
        </w:rPr>
        <w:t>sex</w:t>
      </w:r>
      <w:r w:rsidR="004227B6">
        <w:rPr>
          <w:szCs w:val="24"/>
        </w:rPr>
        <w:t xml:space="preserve"> in analysis of </w:t>
      </w:r>
      <w:r w:rsidR="004227B6" w:rsidRPr="00A1635E">
        <w:rPr>
          <w:szCs w:val="24"/>
        </w:rPr>
        <w:t>chronic conditions and their associations with behaviors and quality of life, 2010</w:t>
      </w:r>
      <w:r w:rsidR="004227B6">
        <w:rPr>
          <w:szCs w:val="24"/>
        </w:rPr>
        <w:t>.</w:t>
      </w:r>
    </w:p>
    <w:sectPr w:rsidR="002474C3" w:rsidRPr="00216E38" w:rsidSect="00785A3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15F0B" w14:textId="77777777" w:rsidR="00A81A19" w:rsidRDefault="00A81A19">
      <w:pPr>
        <w:spacing w:after="0" w:line="240" w:lineRule="auto"/>
      </w:pPr>
      <w:r>
        <w:separator/>
      </w:r>
    </w:p>
  </w:endnote>
  <w:endnote w:type="continuationSeparator" w:id="0">
    <w:p w14:paraId="1350A4A9" w14:textId="77777777" w:rsidR="00A81A19" w:rsidRDefault="00A8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44B7C" w14:textId="77777777" w:rsidR="00A81A19" w:rsidRDefault="00A81A19">
      <w:pPr>
        <w:spacing w:after="0" w:line="240" w:lineRule="auto"/>
      </w:pPr>
      <w:r>
        <w:separator/>
      </w:r>
    </w:p>
  </w:footnote>
  <w:footnote w:type="continuationSeparator" w:id="0">
    <w:p w14:paraId="6175941F" w14:textId="77777777" w:rsidR="00A81A19" w:rsidRDefault="00A81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CEE6D" w14:textId="77777777" w:rsidR="00A81A19" w:rsidRDefault="00A81A19">
    <w:pPr>
      <w:pStyle w:val="Header"/>
      <w:jc w:val="right"/>
    </w:pPr>
    <w:r>
      <w:t xml:space="preserve">Multiple Chronic Conditions </w:t>
    </w:r>
    <w:r>
      <w:fldChar w:fldCharType="begin"/>
    </w:r>
    <w:r>
      <w:instrText xml:space="preserve"> PAGE   \* MERGEFORMAT </w:instrText>
    </w:r>
    <w:r>
      <w:fldChar w:fldCharType="separate"/>
    </w:r>
    <w:r w:rsidR="00BA0DD9">
      <w:rPr>
        <w:noProof/>
      </w:rPr>
      <w:t>1</w:t>
    </w:r>
    <w:r>
      <w:rPr>
        <w:noProof/>
      </w:rPr>
      <w:fldChar w:fldCharType="end"/>
    </w:r>
  </w:p>
  <w:p w14:paraId="1E639CBF" w14:textId="77777777" w:rsidR="00A81A19" w:rsidRDefault="00A81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0293"/>
    <w:multiLevelType w:val="hybridMultilevel"/>
    <w:tmpl w:val="E9D2A7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5D8A"/>
    <w:multiLevelType w:val="hybridMultilevel"/>
    <w:tmpl w:val="691239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267FB4"/>
    <w:multiLevelType w:val="hybridMultilevel"/>
    <w:tmpl w:val="746CD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2790D"/>
    <w:multiLevelType w:val="hybridMultilevel"/>
    <w:tmpl w:val="A3C2BDB2"/>
    <w:lvl w:ilvl="0" w:tplc="04090013">
      <w:start w:val="1"/>
      <w:numFmt w:val="upperRoman"/>
      <w:lvlText w:val="%1."/>
      <w:lvlJc w:val="right"/>
      <w:pPr>
        <w:ind w:left="90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F0ED1"/>
    <w:multiLevelType w:val="hybridMultilevel"/>
    <w:tmpl w:val="8C60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778EB"/>
    <w:multiLevelType w:val="hybridMultilevel"/>
    <w:tmpl w:val="56C89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3E13D9"/>
    <w:multiLevelType w:val="hybridMultilevel"/>
    <w:tmpl w:val="D004E57E"/>
    <w:lvl w:ilvl="0" w:tplc="7DD84216">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81CD8"/>
    <w:multiLevelType w:val="hybridMultilevel"/>
    <w:tmpl w:val="8E04A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DC75DD"/>
    <w:multiLevelType w:val="hybridMultilevel"/>
    <w:tmpl w:val="F962D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94C88"/>
    <w:multiLevelType w:val="hybridMultilevel"/>
    <w:tmpl w:val="88C21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95F44"/>
    <w:multiLevelType w:val="hybridMultilevel"/>
    <w:tmpl w:val="0298BD8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 w15:restartNumberingAfterBreak="0">
    <w:nsid w:val="5C20003C"/>
    <w:multiLevelType w:val="hybridMultilevel"/>
    <w:tmpl w:val="42FC2508"/>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 w15:restartNumberingAfterBreak="0">
    <w:nsid w:val="7953264D"/>
    <w:multiLevelType w:val="hybridMultilevel"/>
    <w:tmpl w:val="03007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B7673"/>
    <w:multiLevelType w:val="multilevel"/>
    <w:tmpl w:val="F2D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11"/>
  </w:num>
  <w:num w:numId="5">
    <w:abstractNumId w:val="3"/>
  </w:num>
  <w:num w:numId="6">
    <w:abstractNumId w:val="12"/>
  </w:num>
  <w:num w:numId="7">
    <w:abstractNumId w:val="0"/>
  </w:num>
  <w:num w:numId="8">
    <w:abstractNumId w:val="8"/>
  </w:num>
  <w:num w:numId="9">
    <w:abstractNumId w:val="2"/>
  </w:num>
  <w:num w:numId="10">
    <w:abstractNumId w:val="5"/>
  </w:num>
  <w:num w:numId="11">
    <w:abstractNumId w:val="13"/>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474C3"/>
    <w:rsid w:val="0001453E"/>
    <w:rsid w:val="000525A8"/>
    <w:rsid w:val="000553F6"/>
    <w:rsid w:val="00056528"/>
    <w:rsid w:val="00095975"/>
    <w:rsid w:val="000A0779"/>
    <w:rsid w:val="0011497A"/>
    <w:rsid w:val="001232ED"/>
    <w:rsid w:val="00163AFD"/>
    <w:rsid w:val="001E01FC"/>
    <w:rsid w:val="00216E38"/>
    <w:rsid w:val="00225BA4"/>
    <w:rsid w:val="002474C3"/>
    <w:rsid w:val="00257148"/>
    <w:rsid w:val="00266ACF"/>
    <w:rsid w:val="003A4D6F"/>
    <w:rsid w:val="00413B9C"/>
    <w:rsid w:val="004227B6"/>
    <w:rsid w:val="00494D1B"/>
    <w:rsid w:val="004A45B3"/>
    <w:rsid w:val="004B012C"/>
    <w:rsid w:val="004B6025"/>
    <w:rsid w:val="004E74A1"/>
    <w:rsid w:val="004F3F0D"/>
    <w:rsid w:val="00525E69"/>
    <w:rsid w:val="005A6F87"/>
    <w:rsid w:val="005E4575"/>
    <w:rsid w:val="005E4956"/>
    <w:rsid w:val="00636254"/>
    <w:rsid w:val="00684BBB"/>
    <w:rsid w:val="006A752B"/>
    <w:rsid w:val="006B2048"/>
    <w:rsid w:val="006F47F7"/>
    <w:rsid w:val="0071257B"/>
    <w:rsid w:val="00720FF5"/>
    <w:rsid w:val="00730FBB"/>
    <w:rsid w:val="0077588B"/>
    <w:rsid w:val="00785A30"/>
    <w:rsid w:val="00786452"/>
    <w:rsid w:val="00803930"/>
    <w:rsid w:val="00814EC0"/>
    <w:rsid w:val="00873591"/>
    <w:rsid w:val="008744B6"/>
    <w:rsid w:val="00905435"/>
    <w:rsid w:val="009075EF"/>
    <w:rsid w:val="00924E33"/>
    <w:rsid w:val="009812BB"/>
    <w:rsid w:val="009C41DF"/>
    <w:rsid w:val="009C4C0D"/>
    <w:rsid w:val="00A1635E"/>
    <w:rsid w:val="00A46350"/>
    <w:rsid w:val="00A52617"/>
    <w:rsid w:val="00A81A19"/>
    <w:rsid w:val="00AA0EF9"/>
    <w:rsid w:val="00B10075"/>
    <w:rsid w:val="00B8126B"/>
    <w:rsid w:val="00BA0DD9"/>
    <w:rsid w:val="00BC10F9"/>
    <w:rsid w:val="00BC5374"/>
    <w:rsid w:val="00BC6C16"/>
    <w:rsid w:val="00C15048"/>
    <w:rsid w:val="00C22BDB"/>
    <w:rsid w:val="00C26DDC"/>
    <w:rsid w:val="00C65124"/>
    <w:rsid w:val="00C73097"/>
    <w:rsid w:val="00CD5101"/>
    <w:rsid w:val="00CE70C9"/>
    <w:rsid w:val="00D37248"/>
    <w:rsid w:val="00D45BB6"/>
    <w:rsid w:val="00DA0A5B"/>
    <w:rsid w:val="00DA1E85"/>
    <w:rsid w:val="00DF2D90"/>
    <w:rsid w:val="00E32E8B"/>
    <w:rsid w:val="00E81636"/>
    <w:rsid w:val="00F71E95"/>
    <w:rsid w:val="00F732E2"/>
    <w:rsid w:val="00F873B6"/>
    <w:rsid w:val="00FA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5C72"/>
  <w15:docId w15:val="{D267A78C-F534-47FB-A84B-0123EC69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FC"/>
    <w:pPr>
      <w:spacing w:line="480" w:lineRule="auto"/>
    </w:pPr>
    <w:rPr>
      <w:rFonts w:eastAsia="Calibri"/>
      <w:szCs w:val="22"/>
    </w:rPr>
  </w:style>
  <w:style w:type="paragraph" w:styleId="Heading1">
    <w:name w:val="heading 1"/>
    <w:basedOn w:val="Normal"/>
    <w:link w:val="Heading1Char"/>
    <w:uiPriority w:val="9"/>
    <w:qFormat/>
    <w:rsid w:val="002474C3"/>
    <w:pPr>
      <w:spacing w:before="240" w:after="120" w:line="240" w:lineRule="auto"/>
      <w:outlineLvl w:val="0"/>
    </w:pPr>
    <w:rPr>
      <w:rFonts w:eastAsia="Times New Roman"/>
      <w:b/>
      <w:bCs/>
      <w:color w:val="000000"/>
      <w:kern w:val="36"/>
      <w:sz w:val="33"/>
      <w:szCs w:val="3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4C3"/>
    <w:rPr>
      <w:rFonts w:eastAsia="Times New Roman"/>
      <w:b/>
      <w:bCs/>
      <w:color w:val="000000"/>
      <w:kern w:val="36"/>
      <w:sz w:val="33"/>
      <w:szCs w:val="33"/>
      <w:lang w:val="x-none" w:eastAsia="x-none"/>
    </w:rPr>
  </w:style>
  <w:style w:type="paragraph" w:styleId="ListParagraph">
    <w:name w:val="List Paragraph"/>
    <w:basedOn w:val="Normal"/>
    <w:uiPriority w:val="34"/>
    <w:qFormat/>
    <w:rsid w:val="002474C3"/>
    <w:pPr>
      <w:ind w:left="720"/>
      <w:contextualSpacing/>
    </w:pPr>
  </w:style>
  <w:style w:type="paragraph" w:styleId="NoSpacing">
    <w:name w:val="No Spacing"/>
    <w:link w:val="NoSpacingChar"/>
    <w:uiPriority w:val="1"/>
    <w:qFormat/>
    <w:rsid w:val="001E01FC"/>
    <w:pPr>
      <w:spacing w:before="240" w:after="240" w:line="360" w:lineRule="auto"/>
    </w:pPr>
    <w:rPr>
      <w:rFonts w:eastAsia="Calibri"/>
      <w:szCs w:val="20"/>
    </w:rPr>
  </w:style>
  <w:style w:type="character" w:customStyle="1" w:styleId="NoSpacingChar">
    <w:name w:val="No Spacing Char"/>
    <w:link w:val="NoSpacing"/>
    <w:uiPriority w:val="1"/>
    <w:rsid w:val="001E01FC"/>
    <w:rPr>
      <w:rFonts w:eastAsia="Calibri"/>
      <w:szCs w:val="20"/>
    </w:rPr>
  </w:style>
  <w:style w:type="paragraph" w:styleId="BalloonText">
    <w:name w:val="Balloon Text"/>
    <w:basedOn w:val="Normal"/>
    <w:link w:val="BalloonTextChar"/>
    <w:uiPriority w:val="99"/>
    <w:semiHidden/>
    <w:unhideWhenUsed/>
    <w:rsid w:val="002474C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474C3"/>
    <w:rPr>
      <w:rFonts w:ascii="Tahoma" w:eastAsia="Calibri" w:hAnsi="Tahoma"/>
      <w:sz w:val="16"/>
      <w:szCs w:val="16"/>
      <w:lang w:val="x-none" w:eastAsia="x-none"/>
    </w:rPr>
  </w:style>
  <w:style w:type="table" w:styleId="TableGrid">
    <w:name w:val="Table Grid"/>
    <w:basedOn w:val="TableNormal"/>
    <w:uiPriority w:val="59"/>
    <w:rsid w:val="002474C3"/>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74C3"/>
    <w:rPr>
      <w:color w:val="0000FF"/>
      <w:u w:val="single"/>
    </w:rPr>
  </w:style>
  <w:style w:type="character" w:styleId="CommentReference">
    <w:name w:val="annotation reference"/>
    <w:uiPriority w:val="99"/>
    <w:semiHidden/>
    <w:unhideWhenUsed/>
    <w:rsid w:val="002474C3"/>
    <w:rPr>
      <w:sz w:val="16"/>
      <w:szCs w:val="16"/>
    </w:rPr>
  </w:style>
  <w:style w:type="paragraph" w:styleId="CommentText">
    <w:name w:val="annotation text"/>
    <w:basedOn w:val="Normal"/>
    <w:link w:val="CommentTextChar"/>
    <w:uiPriority w:val="99"/>
    <w:semiHidden/>
    <w:unhideWhenUsed/>
    <w:rsid w:val="002474C3"/>
    <w:pPr>
      <w:spacing w:line="240" w:lineRule="auto"/>
    </w:pPr>
    <w:rPr>
      <w:sz w:val="20"/>
      <w:szCs w:val="20"/>
      <w:lang w:val="x-none" w:eastAsia="x-none"/>
    </w:rPr>
  </w:style>
  <w:style w:type="character" w:customStyle="1" w:styleId="CommentTextChar">
    <w:name w:val="Comment Text Char"/>
    <w:link w:val="CommentText"/>
    <w:uiPriority w:val="99"/>
    <w:semiHidden/>
    <w:rsid w:val="002474C3"/>
    <w:rPr>
      <w:rFonts w:ascii="Calibri" w:eastAsia="Calibri" w:hAnsi="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2474C3"/>
    <w:rPr>
      <w:b/>
      <w:bCs/>
    </w:rPr>
  </w:style>
  <w:style w:type="character" w:customStyle="1" w:styleId="CommentSubjectChar">
    <w:name w:val="Comment Subject Char"/>
    <w:link w:val="CommentSubject"/>
    <w:uiPriority w:val="99"/>
    <w:semiHidden/>
    <w:rsid w:val="002474C3"/>
    <w:rPr>
      <w:rFonts w:ascii="Calibri" w:eastAsia="Calibri" w:hAnsi="Calibri"/>
      <w:b/>
      <w:bCs/>
      <w:sz w:val="20"/>
      <w:szCs w:val="20"/>
      <w:lang w:val="x-none" w:eastAsia="x-none"/>
    </w:rPr>
  </w:style>
  <w:style w:type="paragraph" w:styleId="Header">
    <w:name w:val="header"/>
    <w:basedOn w:val="Normal"/>
    <w:link w:val="HeaderChar"/>
    <w:uiPriority w:val="99"/>
    <w:unhideWhenUsed/>
    <w:rsid w:val="0024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C3"/>
    <w:rPr>
      <w:rFonts w:ascii="Calibri" w:eastAsia="Calibri" w:hAnsi="Calibri"/>
      <w:sz w:val="22"/>
      <w:szCs w:val="22"/>
    </w:rPr>
  </w:style>
  <w:style w:type="paragraph" w:styleId="Footer">
    <w:name w:val="footer"/>
    <w:basedOn w:val="Normal"/>
    <w:link w:val="FooterChar"/>
    <w:uiPriority w:val="99"/>
    <w:unhideWhenUsed/>
    <w:rsid w:val="0024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C3"/>
    <w:rPr>
      <w:rFonts w:ascii="Calibri" w:eastAsia="Calibri" w:hAnsi="Calibri"/>
      <w:sz w:val="22"/>
      <w:szCs w:val="22"/>
    </w:rPr>
  </w:style>
  <w:style w:type="paragraph" w:customStyle="1" w:styleId="NormalindentedParagraph">
    <w:name w:val="Normal (indented) Paragraph"/>
    <w:basedOn w:val="Normal"/>
    <w:rsid w:val="002474C3"/>
    <w:pPr>
      <w:spacing w:after="0" w:line="560" w:lineRule="exact"/>
      <w:ind w:firstLine="720"/>
    </w:pPr>
    <w:rPr>
      <w:rFonts w:eastAsia="Times New Roman"/>
      <w:szCs w:val="24"/>
    </w:rPr>
  </w:style>
  <w:style w:type="character" w:styleId="FollowedHyperlink">
    <w:name w:val="FollowedHyperlink"/>
    <w:uiPriority w:val="99"/>
    <w:semiHidden/>
    <w:unhideWhenUsed/>
    <w:rsid w:val="002474C3"/>
    <w:rPr>
      <w:color w:val="800080"/>
      <w:u w:val="single"/>
    </w:rPr>
  </w:style>
  <w:style w:type="character" w:customStyle="1" w:styleId="highlight">
    <w:name w:val="highlight"/>
    <w:rsid w:val="002474C3"/>
  </w:style>
  <w:style w:type="paragraph" w:styleId="PlainText">
    <w:name w:val="Plain Text"/>
    <w:basedOn w:val="Normal"/>
    <w:link w:val="PlainTextChar"/>
    <w:uiPriority w:val="99"/>
    <w:unhideWhenUsed/>
    <w:rsid w:val="002474C3"/>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2474C3"/>
    <w:rPr>
      <w:rFonts w:ascii="Consolas" w:eastAsia="Calibri" w:hAnsi="Consolas"/>
      <w:sz w:val="21"/>
      <w:szCs w:val="21"/>
      <w:lang w:val="x-none" w:eastAsia="x-none"/>
    </w:rPr>
  </w:style>
  <w:style w:type="character" w:customStyle="1" w:styleId="biborganization">
    <w:name w:val="bib_organization"/>
    <w:rsid w:val="002474C3"/>
    <w:rPr>
      <w:sz w:val="24"/>
      <w:bdr w:val="none" w:sz="0" w:space="0" w:color="auto"/>
      <w:shd w:val="clear" w:color="auto" w:fill="FCAAC3"/>
    </w:rPr>
  </w:style>
  <w:style w:type="character" w:customStyle="1" w:styleId="bibyear">
    <w:name w:val="bib_year"/>
    <w:rsid w:val="002474C3"/>
    <w:rPr>
      <w:sz w:val="24"/>
      <w:bdr w:val="none" w:sz="0" w:space="0" w:color="auto"/>
      <w:shd w:val="clear" w:color="auto" w:fill="FFA3FF"/>
    </w:rPr>
  </w:style>
  <w:style w:type="paragraph" w:styleId="Revision">
    <w:name w:val="Revision"/>
    <w:hidden/>
    <w:uiPriority w:val="99"/>
    <w:semiHidden/>
    <w:rsid w:val="002474C3"/>
    <w:pPr>
      <w:spacing w:after="0"/>
    </w:pPr>
    <w:rPr>
      <w:rFonts w:ascii="Calibri" w:eastAsia="Calibri" w:hAnsi="Calibri"/>
      <w:sz w:val="22"/>
      <w:szCs w:val="22"/>
    </w:rPr>
  </w:style>
  <w:style w:type="paragraph" w:customStyle="1" w:styleId="title1">
    <w:name w:val="title1"/>
    <w:basedOn w:val="Normal"/>
    <w:rsid w:val="002474C3"/>
    <w:pPr>
      <w:spacing w:after="0" w:line="240" w:lineRule="auto"/>
    </w:pPr>
    <w:rPr>
      <w:rFonts w:eastAsia="Times New Roman"/>
      <w:sz w:val="27"/>
      <w:szCs w:val="27"/>
    </w:rPr>
  </w:style>
  <w:style w:type="paragraph" w:customStyle="1" w:styleId="desc2">
    <w:name w:val="desc2"/>
    <w:basedOn w:val="Normal"/>
    <w:rsid w:val="002474C3"/>
    <w:pPr>
      <w:spacing w:after="0" w:line="240" w:lineRule="auto"/>
    </w:pPr>
    <w:rPr>
      <w:rFonts w:eastAsia="Times New Roman"/>
      <w:sz w:val="26"/>
      <w:szCs w:val="26"/>
    </w:rPr>
  </w:style>
  <w:style w:type="paragraph" w:customStyle="1" w:styleId="details1">
    <w:name w:val="details1"/>
    <w:basedOn w:val="Normal"/>
    <w:rsid w:val="002474C3"/>
    <w:pPr>
      <w:spacing w:after="0" w:line="240" w:lineRule="auto"/>
    </w:pPr>
    <w:rPr>
      <w:rFonts w:eastAsia="Times New Roman"/>
    </w:rPr>
  </w:style>
  <w:style w:type="character" w:customStyle="1" w:styleId="jrnl">
    <w:name w:val="jrnl"/>
    <w:basedOn w:val="DefaultParagraphFont"/>
    <w:rsid w:val="0024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PowerPoint"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84648176939665"/>
          <c:y val="1.4208824768473455E-2"/>
          <c:w val="0.8380388852667302"/>
          <c:h val="0.92047787623940724"/>
        </c:manualLayout>
      </c:layout>
      <c:barChart>
        <c:barDir val="bar"/>
        <c:grouping val="clustered"/>
        <c:varyColors val="0"/>
        <c:ser>
          <c:idx val="0"/>
          <c:order val="0"/>
          <c:tx>
            <c:strRef>
              <c:f>'[Chart in Microsoft PowerPoint]Short Plot Data'!$C$100</c:f>
              <c:strCache>
                <c:ptCount val="1"/>
                <c:pt idx="0">
                  <c:v>Class 1: healthy </c:v>
                </c:pt>
              </c:strCache>
            </c:strRef>
          </c:tx>
          <c:spPr>
            <a:solidFill>
              <a:schemeClr val="accent1"/>
            </a:solidFill>
            <a:ln>
              <a:noFill/>
            </a:ln>
            <a:effectLst/>
          </c:spPr>
          <c:invertIfNegative val="0"/>
          <c:cat>
            <c:strRef>
              <c:f>'[Chart in Microsoft PowerPoint]Short Plot Data'!$B$101:$B$127</c:f>
              <c:strCache>
                <c:ptCount val="27"/>
                <c:pt idx="0">
                  <c:v>Atrial fibrillation</c:v>
                </c:pt>
                <c:pt idx="1">
                  <c:v>Heart disease (angina or MI)</c:v>
                </c:pt>
                <c:pt idx="2">
                  <c:v>Congestive heart failure</c:v>
                </c:pt>
                <c:pt idx="3">
                  <c:v>Other heart disease</c:v>
                </c:pt>
                <c:pt idx="4">
                  <c:v>High blood pressure</c:v>
                </c:pt>
                <c:pt idx="5">
                  <c:v>High cholesterol</c:v>
                </c:pt>
                <c:pt idx="6">
                  <c:v>Diabetes</c:v>
                </c:pt>
                <c:pt idx="7">
                  <c:v>Arthritis</c:v>
                </c:pt>
                <c:pt idx="8">
                  <c:v>Osteoporosis</c:v>
                </c:pt>
                <c:pt idx="9">
                  <c:v>Chronic pain</c:v>
                </c:pt>
                <c:pt idx="10">
                  <c:v>Sciatica</c:v>
                </c:pt>
                <c:pt idx="11">
                  <c:v>Asthma</c:v>
                </c:pt>
                <c:pt idx="12">
                  <c:v>Emphysema or COPD</c:v>
                </c:pt>
                <c:pt idx="13">
                  <c:v>Eczema</c:v>
                </c:pt>
                <c:pt idx="14">
                  <c:v>Ulcers</c:v>
                </c:pt>
                <c:pt idx="15">
                  <c:v>Irritable bowel syndrome</c:v>
                </c:pt>
                <c:pt idx="16">
                  <c:v>Overactive bladder or incontinence</c:v>
                </c:pt>
                <c:pt idx="17">
                  <c:v>Skin cancer</c:v>
                </c:pt>
                <c:pt idx="18">
                  <c:v>Prostate, breast, lung, or other cancer</c:v>
                </c:pt>
                <c:pt idx="19">
                  <c:v>Multiple sclerosis</c:v>
                </c:pt>
                <c:pt idx="20">
                  <c:v>Epilepsy or seizure disorder</c:v>
                </c:pt>
                <c:pt idx="21">
                  <c:v>Hearing impairment</c:v>
                </c:pt>
                <c:pt idx="22">
                  <c:v>Migraine headaches</c:v>
                </c:pt>
                <c:pt idx="23">
                  <c:v>Insomnia or sleep disorder</c:v>
                </c:pt>
                <c:pt idx="24">
                  <c:v>Depression</c:v>
                </c:pt>
                <c:pt idx="25">
                  <c:v>Anxiety</c:v>
                </c:pt>
                <c:pt idx="26">
                  <c:v>Other mental health condition</c:v>
                </c:pt>
              </c:strCache>
            </c:strRef>
          </c:cat>
          <c:val>
            <c:numRef>
              <c:f>'[Chart in Microsoft PowerPoint]Short Plot Data'!$C$101:$C$127</c:f>
              <c:numCache>
                <c:formatCode>General</c:formatCode>
                <c:ptCount val="27"/>
                <c:pt idx="0">
                  <c:v>3.0820726830116503E-2</c:v>
                </c:pt>
                <c:pt idx="1">
                  <c:v>6.1140778577509483E-3</c:v>
                </c:pt>
                <c:pt idx="2">
                  <c:v>0</c:v>
                </c:pt>
                <c:pt idx="3">
                  <c:v>5.3117885997411062E-3</c:v>
                </c:pt>
                <c:pt idx="4">
                  <c:v>7.4536411048870016E-2</c:v>
                </c:pt>
                <c:pt idx="5">
                  <c:v>6.8693031461334902E-2</c:v>
                </c:pt>
                <c:pt idx="6">
                  <c:v>3.4620814144546527E-2</c:v>
                </c:pt>
                <c:pt idx="7">
                  <c:v>3.2186642037475177E-2</c:v>
                </c:pt>
                <c:pt idx="8">
                  <c:v>1.8731167033146024E-2</c:v>
                </c:pt>
                <c:pt idx="9">
                  <c:v>1.978894033957453E-2</c:v>
                </c:pt>
                <c:pt idx="10">
                  <c:v>4.5160438399577445E-2</c:v>
                </c:pt>
                <c:pt idx="11">
                  <c:v>8.9268621820521282E-2</c:v>
                </c:pt>
                <c:pt idx="12">
                  <c:v>3.2381154274206368E-2</c:v>
                </c:pt>
                <c:pt idx="13">
                  <c:v>0.166874260447157</c:v>
                </c:pt>
                <c:pt idx="14">
                  <c:v>4.6194153337010477E-2</c:v>
                </c:pt>
                <c:pt idx="15">
                  <c:v>8.3931852346751296E-2</c:v>
                </c:pt>
                <c:pt idx="16">
                  <c:v>2.9308540114524967E-2</c:v>
                </c:pt>
                <c:pt idx="17">
                  <c:v>3.0348191301991598E-2</c:v>
                </c:pt>
                <c:pt idx="18">
                  <c:v>9.8696682464454982E-2</c:v>
                </c:pt>
                <c:pt idx="19">
                  <c:v>0.10435865504358656</c:v>
                </c:pt>
                <c:pt idx="20">
                  <c:v>9.790299755564133E-2</c:v>
                </c:pt>
                <c:pt idx="21">
                  <c:v>2.3998122396291732E-2</c:v>
                </c:pt>
                <c:pt idx="22">
                  <c:v>0.12151461790533055</c:v>
                </c:pt>
                <c:pt idx="23">
                  <c:v>4.1673569921689475E-2</c:v>
                </c:pt>
                <c:pt idx="24">
                  <c:v>3.9130902276427765E-2</c:v>
                </c:pt>
                <c:pt idx="25">
                  <c:v>5.1344441097181351E-2</c:v>
                </c:pt>
                <c:pt idx="26">
                  <c:v>8.6437387832838889E-3</c:v>
                </c:pt>
              </c:numCache>
            </c:numRef>
          </c:val>
        </c:ser>
        <c:ser>
          <c:idx val="1"/>
          <c:order val="1"/>
          <c:tx>
            <c:strRef>
              <c:f>'[Chart in Microsoft PowerPoint]Short Plot Data'!$D$100</c:f>
              <c:strCache>
                <c:ptCount val="1"/>
                <c:pt idx="0">
                  <c:v>Class 2: physical health conditions</c:v>
                </c:pt>
              </c:strCache>
            </c:strRef>
          </c:tx>
          <c:spPr>
            <a:solidFill>
              <a:schemeClr val="accent2"/>
            </a:solidFill>
            <a:ln>
              <a:noFill/>
            </a:ln>
            <a:effectLst/>
          </c:spPr>
          <c:invertIfNegative val="0"/>
          <c:cat>
            <c:strRef>
              <c:f>'[Chart in Microsoft PowerPoint]Short Plot Data'!$B$101:$B$127</c:f>
              <c:strCache>
                <c:ptCount val="27"/>
                <c:pt idx="0">
                  <c:v>Atrial fibrillation</c:v>
                </c:pt>
                <c:pt idx="1">
                  <c:v>Heart disease (angina or MI)</c:v>
                </c:pt>
                <c:pt idx="2">
                  <c:v>Congestive heart failure</c:v>
                </c:pt>
                <c:pt idx="3">
                  <c:v>Other heart disease</c:v>
                </c:pt>
                <c:pt idx="4">
                  <c:v>High blood pressure</c:v>
                </c:pt>
                <c:pt idx="5">
                  <c:v>High cholesterol</c:v>
                </c:pt>
                <c:pt idx="6">
                  <c:v>Diabetes</c:v>
                </c:pt>
                <c:pt idx="7">
                  <c:v>Arthritis</c:v>
                </c:pt>
                <c:pt idx="8">
                  <c:v>Osteoporosis</c:v>
                </c:pt>
                <c:pt idx="9">
                  <c:v>Chronic pain</c:v>
                </c:pt>
                <c:pt idx="10">
                  <c:v>Sciatica</c:v>
                </c:pt>
                <c:pt idx="11">
                  <c:v>Asthma</c:v>
                </c:pt>
                <c:pt idx="12">
                  <c:v>Emphysema or COPD</c:v>
                </c:pt>
                <c:pt idx="13">
                  <c:v>Eczema</c:v>
                </c:pt>
                <c:pt idx="14">
                  <c:v>Ulcers</c:v>
                </c:pt>
                <c:pt idx="15">
                  <c:v>Irritable bowel syndrome</c:v>
                </c:pt>
                <c:pt idx="16">
                  <c:v>Overactive bladder or incontinence</c:v>
                </c:pt>
                <c:pt idx="17">
                  <c:v>Skin cancer</c:v>
                </c:pt>
                <c:pt idx="18">
                  <c:v>Prostate, breast, lung, or other cancer</c:v>
                </c:pt>
                <c:pt idx="19">
                  <c:v>Multiple sclerosis</c:v>
                </c:pt>
                <c:pt idx="20">
                  <c:v>Epilepsy or seizure disorder</c:v>
                </c:pt>
                <c:pt idx="21">
                  <c:v>Hearing impairment</c:v>
                </c:pt>
                <c:pt idx="22">
                  <c:v>Migraine headaches</c:v>
                </c:pt>
                <c:pt idx="23">
                  <c:v>Insomnia or sleep disorder</c:v>
                </c:pt>
                <c:pt idx="24">
                  <c:v>Depression</c:v>
                </c:pt>
                <c:pt idx="25">
                  <c:v>Anxiety</c:v>
                </c:pt>
                <c:pt idx="26">
                  <c:v>Other mental health condition</c:v>
                </c:pt>
              </c:strCache>
            </c:strRef>
          </c:cat>
          <c:val>
            <c:numRef>
              <c:f>'[Chart in Microsoft PowerPoint]Short Plot Data'!$D$101:$D$127</c:f>
              <c:numCache>
                <c:formatCode>General</c:formatCode>
                <c:ptCount val="27"/>
                <c:pt idx="0">
                  <c:v>0.16266736219787864</c:v>
                </c:pt>
                <c:pt idx="1">
                  <c:v>0.18837551273121278</c:v>
                </c:pt>
                <c:pt idx="2">
                  <c:v>0.18170997817893272</c:v>
                </c:pt>
                <c:pt idx="3">
                  <c:v>0.28996116591527921</c:v>
                </c:pt>
                <c:pt idx="4">
                  <c:v>0.35293123430558238</c:v>
                </c:pt>
                <c:pt idx="5">
                  <c:v>0.32814613349014993</c:v>
                </c:pt>
                <c:pt idx="6">
                  <c:v>0.29821110365416215</c:v>
                </c:pt>
                <c:pt idx="7">
                  <c:v>0.25877098647503133</c:v>
                </c:pt>
                <c:pt idx="8">
                  <c:v>0.20245948367130873</c:v>
                </c:pt>
                <c:pt idx="9">
                  <c:v>0.11616670022146165</c:v>
                </c:pt>
                <c:pt idx="10">
                  <c:v>0.13516439984154233</c:v>
                </c:pt>
                <c:pt idx="11">
                  <c:v>9.8134287373095458E-2</c:v>
                </c:pt>
                <c:pt idx="12">
                  <c:v>0.17319412793470773</c:v>
                </c:pt>
                <c:pt idx="13">
                  <c:v>9.7091611135330394E-2</c:v>
                </c:pt>
                <c:pt idx="14">
                  <c:v>5.5432984004412572E-2</c:v>
                </c:pt>
                <c:pt idx="15">
                  <c:v>9.9131451478202778E-2</c:v>
                </c:pt>
                <c:pt idx="16">
                  <c:v>0.22287215483447245</c:v>
                </c:pt>
                <c:pt idx="17">
                  <c:v>0.24888226527570786</c:v>
                </c:pt>
                <c:pt idx="18">
                  <c:v>0.33323459715639808</c:v>
                </c:pt>
                <c:pt idx="19">
                  <c:v>0.28841843088418434</c:v>
                </c:pt>
                <c:pt idx="20">
                  <c:v>3.6665380162099581E-2</c:v>
                </c:pt>
                <c:pt idx="21">
                  <c:v>0.3097654951201862</c:v>
                </c:pt>
                <c:pt idx="22">
                  <c:v>3.1626453335821154E-2</c:v>
                </c:pt>
                <c:pt idx="23">
                  <c:v>7.3627356771264779E-2</c:v>
                </c:pt>
                <c:pt idx="24">
                  <c:v>3.6066480292464141E-2</c:v>
                </c:pt>
                <c:pt idx="25">
                  <c:v>2.9947705451146698E-2</c:v>
                </c:pt>
                <c:pt idx="26">
                  <c:v>2.1316338863861112E-2</c:v>
                </c:pt>
              </c:numCache>
            </c:numRef>
          </c:val>
        </c:ser>
        <c:ser>
          <c:idx val="2"/>
          <c:order val="2"/>
          <c:tx>
            <c:strRef>
              <c:f>'[Chart in Microsoft PowerPoint]Short Plot Data'!$E$100</c:f>
              <c:strCache>
                <c:ptCount val="1"/>
                <c:pt idx="0">
                  <c:v>Class 3: mental health conditions</c:v>
                </c:pt>
              </c:strCache>
            </c:strRef>
          </c:tx>
          <c:spPr>
            <a:solidFill>
              <a:schemeClr val="accent3"/>
            </a:solidFill>
            <a:ln>
              <a:noFill/>
            </a:ln>
            <a:effectLst/>
          </c:spPr>
          <c:invertIfNegative val="0"/>
          <c:cat>
            <c:strRef>
              <c:f>'[Chart in Microsoft PowerPoint]Short Plot Data'!$B$101:$B$127</c:f>
              <c:strCache>
                <c:ptCount val="27"/>
                <c:pt idx="0">
                  <c:v>Atrial fibrillation</c:v>
                </c:pt>
                <c:pt idx="1">
                  <c:v>Heart disease (angina or MI)</c:v>
                </c:pt>
                <c:pt idx="2">
                  <c:v>Congestive heart failure</c:v>
                </c:pt>
                <c:pt idx="3">
                  <c:v>Other heart disease</c:v>
                </c:pt>
                <c:pt idx="4">
                  <c:v>High blood pressure</c:v>
                </c:pt>
                <c:pt idx="5">
                  <c:v>High cholesterol</c:v>
                </c:pt>
                <c:pt idx="6">
                  <c:v>Diabetes</c:v>
                </c:pt>
                <c:pt idx="7">
                  <c:v>Arthritis</c:v>
                </c:pt>
                <c:pt idx="8">
                  <c:v>Osteoporosis</c:v>
                </c:pt>
                <c:pt idx="9">
                  <c:v>Chronic pain</c:v>
                </c:pt>
                <c:pt idx="10">
                  <c:v>Sciatica</c:v>
                </c:pt>
                <c:pt idx="11">
                  <c:v>Asthma</c:v>
                </c:pt>
                <c:pt idx="12">
                  <c:v>Emphysema or COPD</c:v>
                </c:pt>
                <c:pt idx="13">
                  <c:v>Eczema</c:v>
                </c:pt>
                <c:pt idx="14">
                  <c:v>Ulcers</c:v>
                </c:pt>
                <c:pt idx="15">
                  <c:v>Irritable bowel syndrome</c:v>
                </c:pt>
                <c:pt idx="16">
                  <c:v>Overactive bladder or incontinence</c:v>
                </c:pt>
                <c:pt idx="17">
                  <c:v>Skin cancer</c:v>
                </c:pt>
                <c:pt idx="18">
                  <c:v>Prostate, breast, lung, or other cancer</c:v>
                </c:pt>
                <c:pt idx="19">
                  <c:v>Multiple sclerosis</c:v>
                </c:pt>
                <c:pt idx="20">
                  <c:v>Epilepsy or seizure disorder</c:v>
                </c:pt>
                <c:pt idx="21">
                  <c:v>Hearing impairment</c:v>
                </c:pt>
                <c:pt idx="22">
                  <c:v>Migraine headaches</c:v>
                </c:pt>
                <c:pt idx="23">
                  <c:v>Insomnia or sleep disorder</c:v>
                </c:pt>
                <c:pt idx="24">
                  <c:v>Depression</c:v>
                </c:pt>
                <c:pt idx="25">
                  <c:v>Anxiety</c:v>
                </c:pt>
                <c:pt idx="26">
                  <c:v>Other mental health condition</c:v>
                </c:pt>
              </c:strCache>
            </c:strRef>
          </c:cat>
          <c:val>
            <c:numRef>
              <c:f>'[Chart in Microsoft PowerPoint]Short Plot Data'!$E$101:$E$127</c:f>
              <c:numCache>
                <c:formatCode>General</c:formatCode>
                <c:ptCount val="27"/>
                <c:pt idx="0">
                  <c:v>0.29677447400452095</c:v>
                </c:pt>
                <c:pt idx="1">
                  <c:v>3.9277145731754511E-2</c:v>
                </c:pt>
                <c:pt idx="2">
                  <c:v>0</c:v>
                </c:pt>
                <c:pt idx="3">
                  <c:v>0.15881801544436014</c:v>
                </c:pt>
                <c:pt idx="4">
                  <c:v>0.129823015259803</c:v>
                </c:pt>
                <c:pt idx="5">
                  <c:v>0.18021170244045867</c:v>
                </c:pt>
                <c:pt idx="6">
                  <c:v>9.7602462335979259E-2</c:v>
                </c:pt>
                <c:pt idx="7">
                  <c:v>0.18535153531800758</c:v>
                </c:pt>
                <c:pt idx="8">
                  <c:v>8.6136221733583096E-2</c:v>
                </c:pt>
                <c:pt idx="9">
                  <c:v>0.33327461244211803</c:v>
                </c:pt>
                <c:pt idx="10">
                  <c:v>0.43113693384391916</c:v>
                </c:pt>
                <c:pt idx="11">
                  <c:v>0.46500023537165192</c:v>
                </c:pt>
                <c:pt idx="12">
                  <c:v>5.7872701256028405E-2</c:v>
                </c:pt>
                <c:pt idx="13">
                  <c:v>0.40181852151709535</c:v>
                </c:pt>
                <c:pt idx="14">
                  <c:v>0.24967824967824967</c:v>
                </c:pt>
                <c:pt idx="15">
                  <c:v>0.31278882022159127</c:v>
                </c:pt>
                <c:pt idx="16">
                  <c:v>9.8577673788559819E-2</c:v>
                </c:pt>
                <c:pt idx="17">
                  <c:v>0.21966309894774871</c:v>
                </c:pt>
                <c:pt idx="18">
                  <c:v>9.1765402843601893E-2</c:v>
                </c:pt>
                <c:pt idx="19">
                  <c:v>0.16637608966376091</c:v>
                </c:pt>
                <c:pt idx="20">
                  <c:v>0.32548565547407693</c:v>
                </c:pt>
                <c:pt idx="21">
                  <c:v>0.1442038764693227</c:v>
                </c:pt>
                <c:pt idx="22">
                  <c:v>0.60173059206306623</c:v>
                </c:pt>
                <c:pt idx="23">
                  <c:v>0.51731336359720337</c:v>
                </c:pt>
                <c:pt idx="24">
                  <c:v>0.55129642714509541</c:v>
                </c:pt>
                <c:pt idx="25">
                  <c:v>0.54058041542109858</c:v>
                </c:pt>
                <c:pt idx="26">
                  <c:v>0.60312053620481276</c:v>
                </c:pt>
              </c:numCache>
            </c:numRef>
          </c:val>
        </c:ser>
        <c:ser>
          <c:idx val="3"/>
          <c:order val="3"/>
          <c:tx>
            <c:strRef>
              <c:f>'[Chart in Microsoft PowerPoint]Short Plot Data'!$F$100</c:f>
              <c:strCache>
                <c:ptCount val="1"/>
                <c:pt idx="0">
                  <c:v>Class 4: physical and mental health conditions </c:v>
                </c:pt>
              </c:strCache>
            </c:strRef>
          </c:tx>
          <c:spPr>
            <a:solidFill>
              <a:schemeClr val="accent4"/>
            </a:solidFill>
            <a:ln>
              <a:noFill/>
            </a:ln>
            <a:effectLst/>
          </c:spPr>
          <c:invertIfNegative val="0"/>
          <c:cat>
            <c:strRef>
              <c:f>'[Chart in Microsoft PowerPoint]Short Plot Data'!$B$101:$B$127</c:f>
              <c:strCache>
                <c:ptCount val="27"/>
                <c:pt idx="0">
                  <c:v>Atrial fibrillation</c:v>
                </c:pt>
                <c:pt idx="1">
                  <c:v>Heart disease (angina or MI)</c:v>
                </c:pt>
                <c:pt idx="2">
                  <c:v>Congestive heart failure</c:v>
                </c:pt>
                <c:pt idx="3">
                  <c:v>Other heart disease</c:v>
                </c:pt>
                <c:pt idx="4">
                  <c:v>High blood pressure</c:v>
                </c:pt>
                <c:pt idx="5">
                  <c:v>High cholesterol</c:v>
                </c:pt>
                <c:pt idx="6">
                  <c:v>Diabetes</c:v>
                </c:pt>
                <c:pt idx="7">
                  <c:v>Arthritis</c:v>
                </c:pt>
                <c:pt idx="8">
                  <c:v>Osteoporosis</c:v>
                </c:pt>
                <c:pt idx="9">
                  <c:v>Chronic pain</c:v>
                </c:pt>
                <c:pt idx="10">
                  <c:v>Sciatica</c:v>
                </c:pt>
                <c:pt idx="11">
                  <c:v>Asthma</c:v>
                </c:pt>
                <c:pt idx="12">
                  <c:v>Emphysema or COPD</c:v>
                </c:pt>
                <c:pt idx="13">
                  <c:v>Eczema</c:v>
                </c:pt>
                <c:pt idx="14">
                  <c:v>Ulcers</c:v>
                </c:pt>
                <c:pt idx="15">
                  <c:v>Irritable bowel syndrome</c:v>
                </c:pt>
                <c:pt idx="16">
                  <c:v>Overactive bladder or incontinence</c:v>
                </c:pt>
                <c:pt idx="17">
                  <c:v>Skin cancer</c:v>
                </c:pt>
                <c:pt idx="18">
                  <c:v>Prostate, breast, lung, or other cancer</c:v>
                </c:pt>
                <c:pt idx="19">
                  <c:v>Multiple sclerosis</c:v>
                </c:pt>
                <c:pt idx="20">
                  <c:v>Epilepsy or seizure disorder</c:v>
                </c:pt>
                <c:pt idx="21">
                  <c:v>Hearing impairment</c:v>
                </c:pt>
                <c:pt idx="22">
                  <c:v>Migraine headaches</c:v>
                </c:pt>
                <c:pt idx="23">
                  <c:v>Insomnia or sleep disorder</c:v>
                </c:pt>
                <c:pt idx="24">
                  <c:v>Depression</c:v>
                </c:pt>
                <c:pt idx="25">
                  <c:v>Anxiety</c:v>
                </c:pt>
                <c:pt idx="26">
                  <c:v>Other mental health condition</c:v>
                </c:pt>
              </c:strCache>
            </c:strRef>
          </c:cat>
          <c:val>
            <c:numRef>
              <c:f>'[Chart in Microsoft PowerPoint]Short Plot Data'!$F$101:$F$127</c:f>
              <c:numCache>
                <c:formatCode>General</c:formatCode>
                <c:ptCount val="27"/>
                <c:pt idx="0">
                  <c:v>0.50973743696748397</c:v>
                </c:pt>
                <c:pt idx="1">
                  <c:v>0.7662332636792818</c:v>
                </c:pt>
                <c:pt idx="2">
                  <c:v>0.81829002182106725</c:v>
                </c:pt>
                <c:pt idx="3">
                  <c:v>0.54590903004061953</c:v>
                </c:pt>
                <c:pt idx="4">
                  <c:v>0.44270933938574469</c:v>
                </c:pt>
                <c:pt idx="5">
                  <c:v>0.42294913260805644</c:v>
                </c:pt>
                <c:pt idx="6">
                  <c:v>0.56956561986531207</c:v>
                </c:pt>
                <c:pt idx="7">
                  <c:v>0.52369083616948597</c:v>
                </c:pt>
                <c:pt idx="8">
                  <c:v>0.6926731275619622</c:v>
                </c:pt>
                <c:pt idx="9">
                  <c:v>0.53076974699684587</c:v>
                </c:pt>
                <c:pt idx="10">
                  <c:v>0.38853822791496101</c:v>
                </c:pt>
                <c:pt idx="11">
                  <c:v>0.34759685543473146</c:v>
                </c:pt>
                <c:pt idx="12">
                  <c:v>0.73655201653505753</c:v>
                </c:pt>
                <c:pt idx="13">
                  <c:v>0.33421560690041729</c:v>
                </c:pt>
                <c:pt idx="14">
                  <c:v>0.64869461298032727</c:v>
                </c:pt>
                <c:pt idx="15">
                  <c:v>0.50414787595345478</c:v>
                </c:pt>
                <c:pt idx="16">
                  <c:v>0.64924163126244283</c:v>
                </c:pt>
                <c:pt idx="17">
                  <c:v>0.50110644447455177</c:v>
                </c:pt>
                <c:pt idx="18">
                  <c:v>0.476303317535545</c:v>
                </c:pt>
                <c:pt idx="19">
                  <c:v>0.44084682440846829</c:v>
                </c:pt>
                <c:pt idx="20">
                  <c:v>0.53994596680818219</c:v>
                </c:pt>
                <c:pt idx="21">
                  <c:v>0.52203250601419937</c:v>
                </c:pt>
                <c:pt idx="22">
                  <c:v>0.24512833669578196</c:v>
                </c:pt>
                <c:pt idx="23">
                  <c:v>0.36738570970984241</c:v>
                </c:pt>
                <c:pt idx="24">
                  <c:v>0.37350619028601273</c:v>
                </c:pt>
                <c:pt idx="25">
                  <c:v>0.37812743803057342</c:v>
                </c:pt>
                <c:pt idx="26">
                  <c:v>0.36691938614804237</c:v>
                </c:pt>
              </c:numCache>
            </c:numRef>
          </c:val>
        </c:ser>
        <c:dLbls>
          <c:showLegendKey val="0"/>
          <c:showVal val="0"/>
          <c:showCatName val="0"/>
          <c:showSerName val="0"/>
          <c:showPercent val="0"/>
          <c:showBubbleSize val="0"/>
        </c:dLbls>
        <c:gapWidth val="182"/>
        <c:axId val="124172040"/>
        <c:axId val="175852768"/>
      </c:barChart>
      <c:catAx>
        <c:axId val="124172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852768"/>
        <c:crosses val="autoZero"/>
        <c:auto val="1"/>
        <c:lblAlgn val="ctr"/>
        <c:lblOffset val="100"/>
        <c:noMultiLvlLbl val="0"/>
      </c:catAx>
      <c:valAx>
        <c:axId val="175852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72040"/>
        <c:crosses val="max"/>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81544669897032107"/>
          <c:y val="0.59365679582508823"/>
          <c:w val="0.14072554624939398"/>
          <c:h val="0.31693294540280081"/>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Patterns of Chronic Conditions and Their Associations With Behaviors and Quality of Life, 2010</vt:lpstr>
    </vt:vector>
  </TitlesOfParts>
  <Company>Department of Psychology, University of Hawai‘i at Mānoa</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Patterns of Chronic Conditions and Their Associations With Behaviors and Quality of Life, 2010</dc:title>
  <dc:subject>Preventing Chronic Disease, comorbidity, multiple chronic conditions, latent class analysis, health-related quality of life</dc:subject>
  <dc:creator>Jack Barile</dc:creator>
  <cp:keywords>comorbidity, multiple chronic conditions, latent class analysis, health-related quality of life</cp:keywords>
  <dc:description>APPENDIX :Additional Information on Measures</dc:description>
  <cp:lastModifiedBy>Jones, Shawn (CDC/ONDIEH/NCCDPHP) (CTR)</cp:lastModifiedBy>
  <cp:revision>6</cp:revision>
  <cp:lastPrinted>2015-10-17T00:10:00Z</cp:lastPrinted>
  <dcterms:created xsi:type="dcterms:W3CDTF">2015-11-30T21:20:00Z</dcterms:created>
  <dcterms:modified xsi:type="dcterms:W3CDTF">2015-12-04T14:41:00Z</dcterms:modified>
  <cp:category>Original Research</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