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6383" w14:textId="77777777" w:rsidR="000436EF" w:rsidRDefault="000436EF" w:rsidP="00F724C7">
      <w:pPr>
        <w:pStyle w:val="Heading1"/>
        <w:spacing w:after="240"/>
      </w:pPr>
      <w:r w:rsidRPr="00944AF8">
        <w:t>HICPAC Sample Audit Tool: Reprocessing Flexible Endoscopes</w:t>
      </w:r>
    </w:p>
    <w:p w14:paraId="25D45ACB" w14:textId="798AA357" w:rsidR="00151579" w:rsidRDefault="00127B7B" w:rsidP="00F724C7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="00E979B7" w:rsidRPr="00944AF8">
        <w:rPr>
          <w:sz w:val="24"/>
          <w:szCs w:val="24"/>
        </w:rPr>
        <w:t xml:space="preserve">Facilities can use this sample </w:t>
      </w:r>
      <w:r w:rsidR="007B38DA">
        <w:rPr>
          <w:sz w:val="24"/>
          <w:szCs w:val="24"/>
        </w:rPr>
        <w:t xml:space="preserve">Audit Tool </w:t>
      </w:r>
      <w:r w:rsidR="00E979B7" w:rsidRPr="00944AF8">
        <w:rPr>
          <w:sz w:val="24"/>
          <w:szCs w:val="24"/>
        </w:rPr>
        <w:t xml:space="preserve">document as a template to </w:t>
      </w:r>
      <w:r w:rsidR="007B38DA">
        <w:rPr>
          <w:sz w:val="24"/>
          <w:szCs w:val="24"/>
        </w:rPr>
        <w:t>develop</w:t>
      </w:r>
      <w:r w:rsidR="00E979B7" w:rsidRPr="00944AF8">
        <w:rPr>
          <w:sz w:val="24"/>
          <w:szCs w:val="24"/>
        </w:rPr>
        <w:t xml:space="preserve"> their own </w:t>
      </w:r>
      <w:r w:rsidR="00151579" w:rsidRPr="00944AF8">
        <w:rPr>
          <w:sz w:val="24"/>
          <w:szCs w:val="24"/>
        </w:rPr>
        <w:t>audit tool</w:t>
      </w:r>
      <w:r w:rsidR="00E979B7" w:rsidRPr="00944AF8">
        <w:rPr>
          <w:sz w:val="24"/>
          <w:szCs w:val="24"/>
        </w:rPr>
        <w:t xml:space="preserve"> specific to the</w:t>
      </w:r>
      <w:r w:rsidR="007B38DA">
        <w:rPr>
          <w:sz w:val="24"/>
          <w:szCs w:val="24"/>
        </w:rPr>
        <w:t>ir</w:t>
      </w:r>
      <w:r w:rsidR="00E979B7" w:rsidRPr="00944AF8">
        <w:rPr>
          <w:sz w:val="24"/>
          <w:szCs w:val="24"/>
        </w:rPr>
        <w:t xml:space="preserve"> endoscopes and evidence-based reprocessing practices. This </w:t>
      </w:r>
      <w:r w:rsidR="007B38DA">
        <w:rPr>
          <w:sz w:val="24"/>
          <w:szCs w:val="24"/>
        </w:rPr>
        <w:t>sample</w:t>
      </w:r>
      <w:r w:rsidR="00E979B7" w:rsidRPr="00944AF8">
        <w:rPr>
          <w:sz w:val="24"/>
          <w:szCs w:val="24"/>
        </w:rPr>
        <w:t xml:space="preserve"> tool</w:t>
      </w:r>
      <w:r w:rsidR="00151579" w:rsidRPr="00944AF8">
        <w:rPr>
          <w:sz w:val="24"/>
          <w:szCs w:val="24"/>
        </w:rPr>
        <w:t xml:space="preserve"> is </w:t>
      </w:r>
      <w:r w:rsidR="00E61405" w:rsidRPr="00944AF8">
        <w:rPr>
          <w:sz w:val="24"/>
          <w:szCs w:val="24"/>
        </w:rPr>
        <w:t>designed to be used in conjunction</w:t>
      </w:r>
      <w:r w:rsidR="00151579" w:rsidRPr="00944AF8">
        <w:rPr>
          <w:sz w:val="24"/>
          <w:szCs w:val="24"/>
        </w:rPr>
        <w:t xml:space="preserve"> with the </w:t>
      </w:r>
      <w:r w:rsidR="00E61405" w:rsidRPr="00944AF8">
        <w:rPr>
          <w:sz w:val="24"/>
          <w:szCs w:val="24"/>
        </w:rPr>
        <w:t>C</w:t>
      </w:r>
      <w:r w:rsidR="00151579" w:rsidRPr="00944AF8">
        <w:rPr>
          <w:sz w:val="24"/>
          <w:szCs w:val="24"/>
        </w:rPr>
        <w:t xml:space="preserve">ompetency </w:t>
      </w:r>
      <w:r w:rsidR="00E61405" w:rsidRPr="00944AF8">
        <w:rPr>
          <w:sz w:val="24"/>
          <w:szCs w:val="24"/>
        </w:rPr>
        <w:t>V</w:t>
      </w:r>
      <w:r w:rsidR="00151579" w:rsidRPr="00944AF8">
        <w:rPr>
          <w:sz w:val="24"/>
          <w:szCs w:val="24"/>
        </w:rPr>
        <w:t xml:space="preserve">erification </w:t>
      </w:r>
      <w:r w:rsidR="00E61405" w:rsidRPr="00944AF8">
        <w:rPr>
          <w:sz w:val="24"/>
          <w:szCs w:val="24"/>
        </w:rPr>
        <w:t>T</w:t>
      </w:r>
      <w:r w:rsidR="00151579" w:rsidRPr="00944AF8">
        <w:rPr>
          <w:sz w:val="24"/>
          <w:szCs w:val="24"/>
        </w:rPr>
        <w:t>oo</w:t>
      </w:r>
      <w:r w:rsidR="00E61405" w:rsidRPr="00944AF8">
        <w:rPr>
          <w:sz w:val="24"/>
          <w:szCs w:val="24"/>
        </w:rPr>
        <w:t xml:space="preserve">l. Facilities </w:t>
      </w:r>
      <w:r w:rsidR="007B38DA">
        <w:rPr>
          <w:sz w:val="24"/>
          <w:szCs w:val="24"/>
        </w:rPr>
        <w:t>are encouraged to</w:t>
      </w:r>
      <w:r w:rsidR="00151579" w:rsidRPr="00944AF8">
        <w:rPr>
          <w:sz w:val="24"/>
          <w:szCs w:val="24"/>
        </w:rPr>
        <w:t xml:space="preserve"> use these </w:t>
      </w:r>
      <w:r w:rsidR="00E61405" w:rsidRPr="00944AF8">
        <w:rPr>
          <w:sz w:val="24"/>
          <w:szCs w:val="24"/>
        </w:rPr>
        <w:t xml:space="preserve">tools </w:t>
      </w:r>
      <w:r w:rsidR="00151579" w:rsidRPr="00944AF8">
        <w:rPr>
          <w:sz w:val="24"/>
          <w:szCs w:val="24"/>
        </w:rPr>
        <w:t xml:space="preserve">together to verify competency and audit current practice </w:t>
      </w:r>
      <w:r w:rsidR="00E61405" w:rsidRPr="00944AF8">
        <w:rPr>
          <w:sz w:val="24"/>
          <w:szCs w:val="24"/>
        </w:rPr>
        <w:t xml:space="preserve">as well as </w:t>
      </w:r>
      <w:r w:rsidR="00151579" w:rsidRPr="00944AF8">
        <w:rPr>
          <w:sz w:val="24"/>
          <w:szCs w:val="24"/>
        </w:rPr>
        <w:t xml:space="preserve">to ensure </w:t>
      </w:r>
      <w:r w:rsidR="00E61405" w:rsidRPr="00944AF8">
        <w:rPr>
          <w:sz w:val="24"/>
          <w:szCs w:val="24"/>
        </w:rPr>
        <w:t>that their</w:t>
      </w:r>
      <w:r w:rsidR="00151579" w:rsidRPr="00944AF8">
        <w:rPr>
          <w:sz w:val="24"/>
          <w:szCs w:val="24"/>
        </w:rPr>
        <w:t xml:space="preserve"> practices </w:t>
      </w:r>
      <w:r w:rsidR="007B38DA">
        <w:rPr>
          <w:sz w:val="24"/>
          <w:szCs w:val="24"/>
        </w:rPr>
        <w:t>are consistent</w:t>
      </w:r>
      <w:r w:rsidR="007B38DA" w:rsidRPr="00944AF8">
        <w:rPr>
          <w:sz w:val="24"/>
          <w:szCs w:val="24"/>
        </w:rPr>
        <w:t xml:space="preserve"> </w:t>
      </w:r>
      <w:r w:rsidR="00151579" w:rsidRPr="00944AF8">
        <w:rPr>
          <w:sz w:val="24"/>
          <w:szCs w:val="24"/>
        </w:rPr>
        <w:t xml:space="preserve">with </w:t>
      </w:r>
      <w:r w:rsidR="002C606D" w:rsidRPr="00944AF8">
        <w:rPr>
          <w:sz w:val="24"/>
          <w:szCs w:val="24"/>
        </w:rPr>
        <w:t>“Essential Elements of a Reprocessing Program for Flexible Endoscopes – Recommendations of the Healthcare Infection Control Practices Advisory Committee.”</w:t>
      </w:r>
    </w:p>
    <w:p w14:paraId="4585F860" w14:textId="3015BD90" w:rsidR="008F3AFB" w:rsidRPr="00944AF8" w:rsidRDefault="00FF40DC" w:rsidP="00F54CDB">
      <w:pPr>
        <w:tabs>
          <w:tab w:val="right" w:pos="7470"/>
          <w:tab w:val="left" w:pos="7920"/>
          <w:tab w:val="right" w:pos="10800"/>
        </w:tabs>
        <w:rPr>
          <w:b/>
          <w:sz w:val="24"/>
          <w:szCs w:val="24"/>
        </w:rPr>
      </w:pPr>
      <w:r w:rsidRPr="00944AF8">
        <w:rPr>
          <w:b/>
          <w:sz w:val="24"/>
          <w:szCs w:val="24"/>
        </w:rPr>
        <w:t>Auditor</w:t>
      </w:r>
      <w:r w:rsidR="008F3AFB" w:rsidRPr="00944AF8">
        <w:rPr>
          <w:b/>
          <w:sz w:val="24"/>
          <w:szCs w:val="24"/>
        </w:rPr>
        <w:t xml:space="preserve">: </w:t>
      </w:r>
      <w:r w:rsidR="00F54CDB" w:rsidRPr="00F54CDB">
        <w:rPr>
          <w:sz w:val="24"/>
          <w:szCs w:val="24"/>
          <w:u w:val="single"/>
        </w:rPr>
        <w:tab/>
      </w:r>
      <w:r w:rsidR="00F54CDB">
        <w:rPr>
          <w:sz w:val="24"/>
          <w:szCs w:val="24"/>
        </w:rPr>
        <w:tab/>
      </w:r>
      <w:r w:rsidR="008F3AFB" w:rsidRPr="00944AF8">
        <w:rPr>
          <w:b/>
          <w:sz w:val="24"/>
          <w:szCs w:val="24"/>
        </w:rPr>
        <w:t>Date:</w:t>
      </w:r>
      <w:r w:rsidR="008F3AFB" w:rsidRPr="000436EF">
        <w:rPr>
          <w:sz w:val="24"/>
          <w:szCs w:val="24"/>
        </w:rPr>
        <w:t xml:space="preserve"> </w:t>
      </w:r>
      <w:r w:rsidR="00F54CDB" w:rsidRPr="00F54CDB">
        <w:rPr>
          <w:sz w:val="24"/>
          <w:szCs w:val="24"/>
          <w:u w:val="single"/>
        </w:rPr>
        <w:tab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HICPAC Sample Audit Tool: Reprocessing Flexible Endoscopes"/>
      </w:tblPr>
      <w:tblGrid>
        <w:gridCol w:w="6217"/>
        <w:gridCol w:w="618"/>
        <w:gridCol w:w="540"/>
        <w:gridCol w:w="3415"/>
      </w:tblGrid>
      <w:tr w:rsidR="00A36D9A" w:rsidRPr="00944AF8" w14:paraId="78C8B368" w14:textId="77777777" w:rsidTr="000436EF">
        <w:trPr>
          <w:trHeight w:val="188"/>
          <w:tblHeader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6542B93" w14:textId="77777777" w:rsidR="00A6554C" w:rsidRPr="00944AF8" w:rsidRDefault="00132B6B" w:rsidP="00A6554C">
            <w:pPr>
              <w:rPr>
                <w:b/>
              </w:rPr>
            </w:pPr>
            <w:bookmarkStart w:id="0" w:name="_GoBack" w:colFirst="0" w:colLast="0"/>
            <w:r w:rsidRPr="00944AF8">
              <w:rPr>
                <w:b/>
              </w:rPr>
              <w:t>Audit Item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4618A628" w14:textId="77777777" w:rsidR="00A6554C" w:rsidRPr="00944AF8" w:rsidRDefault="00A6554C" w:rsidP="00A6554C">
            <w:pPr>
              <w:rPr>
                <w:b/>
              </w:rPr>
            </w:pPr>
            <w:r w:rsidRPr="00944AF8">
              <w:rPr>
                <w:b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AAB1AC2" w14:textId="77777777" w:rsidR="00A6554C" w:rsidRPr="00944AF8" w:rsidRDefault="00A6554C" w:rsidP="00A6554C">
            <w:pPr>
              <w:rPr>
                <w:b/>
              </w:rPr>
            </w:pPr>
            <w:r w:rsidRPr="00944AF8">
              <w:rPr>
                <w:b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12E503A" w14:textId="77777777" w:rsidR="00A6554C" w:rsidRPr="00944AF8" w:rsidRDefault="001B6B79" w:rsidP="00A6554C">
            <w:pPr>
              <w:rPr>
                <w:b/>
              </w:rPr>
            </w:pPr>
            <w:r w:rsidRPr="00944AF8">
              <w:rPr>
                <w:b/>
              </w:rPr>
              <w:t>Comments/Action</w:t>
            </w:r>
          </w:p>
        </w:tc>
      </w:tr>
      <w:bookmarkEnd w:id="0"/>
      <w:tr w:rsidR="007528A6" w:rsidRPr="00944AF8" w14:paraId="7AC5C475" w14:textId="77777777" w:rsidTr="000436EF">
        <w:tc>
          <w:tcPr>
            <w:tcW w:w="6217" w:type="dxa"/>
            <w:shd w:val="clear" w:color="auto" w:fill="DEEAF6" w:themeFill="accent1" w:themeFillTint="33"/>
          </w:tcPr>
          <w:p w14:paraId="5A76C2E1" w14:textId="53262C13" w:rsidR="007528A6" w:rsidRPr="00F724C7" w:rsidRDefault="007528A6" w:rsidP="00F724C7">
            <w:pPr>
              <w:pStyle w:val="Heading2"/>
              <w:outlineLvl w:val="1"/>
            </w:pPr>
            <w:r w:rsidRPr="000436EF">
              <w:t>Precleaning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14:paraId="1349F3D4" w14:textId="77777777" w:rsidR="007528A6" w:rsidRPr="000436EF" w:rsidRDefault="007528A6" w:rsidP="00A05767"/>
        </w:tc>
        <w:tc>
          <w:tcPr>
            <w:tcW w:w="540" w:type="dxa"/>
            <w:shd w:val="clear" w:color="auto" w:fill="DEEAF6" w:themeFill="accent1" w:themeFillTint="33"/>
          </w:tcPr>
          <w:p w14:paraId="171BD573" w14:textId="77777777" w:rsidR="007528A6" w:rsidRPr="000436EF" w:rsidRDefault="007528A6" w:rsidP="00A05767"/>
        </w:tc>
        <w:tc>
          <w:tcPr>
            <w:tcW w:w="3415" w:type="dxa"/>
            <w:shd w:val="clear" w:color="auto" w:fill="DEEAF6" w:themeFill="accent1" w:themeFillTint="33"/>
          </w:tcPr>
          <w:p w14:paraId="53122943" w14:textId="1440C172" w:rsidR="007528A6" w:rsidRPr="000436EF" w:rsidRDefault="007528A6" w:rsidP="00A05767"/>
        </w:tc>
      </w:tr>
      <w:tr w:rsidR="00A36D9A" w:rsidRPr="00944AF8" w14:paraId="639AD5B0" w14:textId="77777777" w:rsidTr="000436EF">
        <w:tc>
          <w:tcPr>
            <w:tcW w:w="6217" w:type="dxa"/>
          </w:tcPr>
          <w:p w14:paraId="100EA389" w14:textId="4A82D545" w:rsidR="00A6554C" w:rsidRPr="000436EF" w:rsidRDefault="00A05767" w:rsidP="004F33A9">
            <w:r w:rsidRPr="000436EF">
              <w:t>P</w:t>
            </w:r>
            <w:r w:rsidR="000C2694" w:rsidRPr="000436EF">
              <w:t xml:space="preserve">recleans the flexible endoscope at </w:t>
            </w:r>
            <w:r w:rsidR="00DA3B85" w:rsidRPr="000436EF">
              <w:t xml:space="preserve">the </w:t>
            </w:r>
            <w:r w:rsidR="000C2694" w:rsidRPr="000436EF">
              <w:t>point of use</w:t>
            </w:r>
            <w:r w:rsidRPr="000436EF">
              <w:t>.</w:t>
            </w:r>
          </w:p>
        </w:tc>
        <w:tc>
          <w:tcPr>
            <w:tcW w:w="618" w:type="dxa"/>
          </w:tcPr>
          <w:p w14:paraId="1CA468F5" w14:textId="77777777" w:rsidR="00A6554C" w:rsidRPr="000436EF" w:rsidRDefault="00A6554C" w:rsidP="00A6554C"/>
        </w:tc>
        <w:tc>
          <w:tcPr>
            <w:tcW w:w="540" w:type="dxa"/>
          </w:tcPr>
          <w:p w14:paraId="6A5B3C98" w14:textId="77777777" w:rsidR="00A6554C" w:rsidRPr="000436EF" w:rsidRDefault="00A6554C" w:rsidP="00A6554C"/>
        </w:tc>
        <w:tc>
          <w:tcPr>
            <w:tcW w:w="3415" w:type="dxa"/>
          </w:tcPr>
          <w:p w14:paraId="493078E5" w14:textId="77777777" w:rsidR="00A6554C" w:rsidRPr="000436EF" w:rsidRDefault="00A6554C" w:rsidP="00A6554C"/>
        </w:tc>
      </w:tr>
      <w:tr w:rsidR="00A36D9A" w:rsidRPr="00944AF8" w14:paraId="5233346D" w14:textId="77777777" w:rsidTr="000436EF">
        <w:tc>
          <w:tcPr>
            <w:tcW w:w="6217" w:type="dxa"/>
          </w:tcPr>
          <w:p w14:paraId="28030AB4" w14:textId="0B842A7A" w:rsidR="00BC2B99" w:rsidRPr="000436EF" w:rsidRDefault="00BC2B99" w:rsidP="000F34BB">
            <w:r w:rsidRPr="000436EF">
              <w:t xml:space="preserve">Discards the cleaning solution </w:t>
            </w:r>
            <w:r w:rsidR="000F34BB" w:rsidRPr="000436EF">
              <w:t>and</w:t>
            </w:r>
            <w:r w:rsidRPr="000436EF">
              <w:t xml:space="preserve"> cloth after use.</w:t>
            </w:r>
          </w:p>
        </w:tc>
        <w:tc>
          <w:tcPr>
            <w:tcW w:w="618" w:type="dxa"/>
          </w:tcPr>
          <w:p w14:paraId="17BE5A1C" w14:textId="77777777" w:rsidR="00BC2B99" w:rsidRPr="000436EF" w:rsidRDefault="00BC2B99" w:rsidP="00A6554C"/>
        </w:tc>
        <w:tc>
          <w:tcPr>
            <w:tcW w:w="540" w:type="dxa"/>
          </w:tcPr>
          <w:p w14:paraId="7C9398EB" w14:textId="77777777" w:rsidR="00BC2B99" w:rsidRPr="000436EF" w:rsidRDefault="00BC2B99" w:rsidP="00A6554C"/>
        </w:tc>
        <w:tc>
          <w:tcPr>
            <w:tcW w:w="3415" w:type="dxa"/>
          </w:tcPr>
          <w:p w14:paraId="455E6AC7" w14:textId="77777777" w:rsidR="00BC2B99" w:rsidRPr="000436EF" w:rsidRDefault="00BC2B99" w:rsidP="00A6554C"/>
        </w:tc>
      </w:tr>
      <w:tr w:rsidR="007528A6" w:rsidRPr="00944AF8" w14:paraId="2E1EC842" w14:textId="77777777" w:rsidTr="000436EF">
        <w:trPr>
          <w:trHeight w:val="260"/>
        </w:trPr>
        <w:tc>
          <w:tcPr>
            <w:tcW w:w="6217" w:type="dxa"/>
            <w:shd w:val="clear" w:color="auto" w:fill="DEEAF6" w:themeFill="accent1" w:themeFillTint="33"/>
          </w:tcPr>
          <w:p w14:paraId="0830588A" w14:textId="63F9EB50" w:rsidR="007528A6" w:rsidRPr="000436EF" w:rsidRDefault="007528A6" w:rsidP="00F724C7">
            <w:pPr>
              <w:pStyle w:val="Heading2"/>
              <w:outlineLvl w:val="1"/>
            </w:pPr>
            <w:r w:rsidRPr="000436EF">
              <w:t>Transporting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14:paraId="708EC8AC" w14:textId="77777777" w:rsidR="007528A6" w:rsidRPr="000436EF" w:rsidRDefault="007528A6" w:rsidP="00F80495"/>
        </w:tc>
        <w:tc>
          <w:tcPr>
            <w:tcW w:w="540" w:type="dxa"/>
            <w:shd w:val="clear" w:color="auto" w:fill="DEEAF6" w:themeFill="accent1" w:themeFillTint="33"/>
          </w:tcPr>
          <w:p w14:paraId="30B56B64" w14:textId="77777777" w:rsidR="007528A6" w:rsidRPr="000436EF" w:rsidRDefault="007528A6" w:rsidP="00F80495"/>
        </w:tc>
        <w:tc>
          <w:tcPr>
            <w:tcW w:w="3415" w:type="dxa"/>
            <w:shd w:val="clear" w:color="auto" w:fill="DEEAF6" w:themeFill="accent1" w:themeFillTint="33"/>
          </w:tcPr>
          <w:p w14:paraId="61B3144D" w14:textId="3A447D7C" w:rsidR="007528A6" w:rsidRPr="000436EF" w:rsidRDefault="007528A6" w:rsidP="00F80495"/>
        </w:tc>
      </w:tr>
      <w:tr w:rsidR="00A36D9A" w:rsidRPr="00944AF8" w14:paraId="215685E0" w14:textId="77777777" w:rsidTr="000436EF">
        <w:trPr>
          <w:trHeight w:val="260"/>
        </w:trPr>
        <w:tc>
          <w:tcPr>
            <w:tcW w:w="6217" w:type="dxa"/>
          </w:tcPr>
          <w:p w14:paraId="0287892E" w14:textId="62C0EAA5" w:rsidR="008C71F7" w:rsidRPr="000436EF" w:rsidRDefault="00A05767" w:rsidP="00F1696C">
            <w:r w:rsidRPr="000436EF">
              <w:t>T</w:t>
            </w:r>
            <w:r w:rsidR="000C2694" w:rsidRPr="000436EF">
              <w:t xml:space="preserve">ransports </w:t>
            </w:r>
            <w:r w:rsidR="0006448D" w:rsidRPr="000436EF">
              <w:t xml:space="preserve">the </w:t>
            </w:r>
            <w:r w:rsidR="000C2694" w:rsidRPr="000436EF">
              <w:t xml:space="preserve">contaminated endoscope and accessories to the </w:t>
            </w:r>
            <w:r w:rsidR="00F1696C" w:rsidRPr="000436EF">
              <w:t xml:space="preserve">endoscopy processing </w:t>
            </w:r>
            <w:r w:rsidR="0006448D" w:rsidRPr="000436EF">
              <w:t>room</w:t>
            </w:r>
            <w:r w:rsidR="000C2694" w:rsidRPr="000436EF">
              <w:t xml:space="preserve"> as soon as possible</w:t>
            </w:r>
            <w:r w:rsidR="008B0FBD" w:rsidRPr="000436EF">
              <w:t xml:space="preserve"> after use</w:t>
            </w:r>
            <w:r w:rsidR="0006448D" w:rsidRPr="000436EF">
              <w:t>.</w:t>
            </w:r>
          </w:p>
        </w:tc>
        <w:tc>
          <w:tcPr>
            <w:tcW w:w="618" w:type="dxa"/>
          </w:tcPr>
          <w:p w14:paraId="24A66907" w14:textId="77777777" w:rsidR="008C71F7" w:rsidRPr="000436EF" w:rsidRDefault="008C71F7" w:rsidP="00A6554C"/>
        </w:tc>
        <w:tc>
          <w:tcPr>
            <w:tcW w:w="540" w:type="dxa"/>
          </w:tcPr>
          <w:p w14:paraId="1F17F7AE" w14:textId="77777777" w:rsidR="008C71F7" w:rsidRPr="000436EF" w:rsidRDefault="008C71F7" w:rsidP="00A6554C"/>
        </w:tc>
        <w:tc>
          <w:tcPr>
            <w:tcW w:w="3415" w:type="dxa"/>
          </w:tcPr>
          <w:p w14:paraId="75859949" w14:textId="77777777" w:rsidR="008C71F7" w:rsidRPr="000436EF" w:rsidRDefault="008C71F7" w:rsidP="00A6554C"/>
        </w:tc>
      </w:tr>
      <w:tr w:rsidR="00A36D9A" w:rsidRPr="00944AF8" w14:paraId="23360164" w14:textId="77777777" w:rsidTr="000436EF">
        <w:trPr>
          <w:trHeight w:val="260"/>
        </w:trPr>
        <w:tc>
          <w:tcPr>
            <w:tcW w:w="6217" w:type="dxa"/>
          </w:tcPr>
          <w:p w14:paraId="02C0A019" w14:textId="03112CF8" w:rsidR="00830084" w:rsidRPr="000436EF" w:rsidRDefault="00830084" w:rsidP="00830084">
            <w:r w:rsidRPr="000436EF">
              <w:t>Ensures the container or cart is labeled with a biohazard legend.</w:t>
            </w:r>
          </w:p>
        </w:tc>
        <w:tc>
          <w:tcPr>
            <w:tcW w:w="618" w:type="dxa"/>
          </w:tcPr>
          <w:p w14:paraId="32CA8FDD" w14:textId="77777777" w:rsidR="00830084" w:rsidRPr="000436EF" w:rsidRDefault="00830084" w:rsidP="00A6554C"/>
        </w:tc>
        <w:tc>
          <w:tcPr>
            <w:tcW w:w="540" w:type="dxa"/>
          </w:tcPr>
          <w:p w14:paraId="1FFDCE48" w14:textId="77777777" w:rsidR="00830084" w:rsidRPr="000436EF" w:rsidRDefault="00830084" w:rsidP="00A6554C"/>
        </w:tc>
        <w:tc>
          <w:tcPr>
            <w:tcW w:w="3415" w:type="dxa"/>
          </w:tcPr>
          <w:p w14:paraId="66DF6517" w14:textId="77777777" w:rsidR="00830084" w:rsidRPr="000436EF" w:rsidRDefault="00830084" w:rsidP="00A6554C"/>
        </w:tc>
      </w:tr>
      <w:tr w:rsidR="007528A6" w:rsidRPr="00944AF8" w14:paraId="4739F022" w14:textId="77777777" w:rsidTr="000436EF">
        <w:trPr>
          <w:trHeight w:val="260"/>
        </w:trPr>
        <w:tc>
          <w:tcPr>
            <w:tcW w:w="6217" w:type="dxa"/>
            <w:shd w:val="clear" w:color="auto" w:fill="DEEAF6" w:themeFill="accent1" w:themeFillTint="33"/>
          </w:tcPr>
          <w:p w14:paraId="7B44673D" w14:textId="46C7399C" w:rsidR="007528A6" w:rsidRPr="000436EF" w:rsidRDefault="007528A6" w:rsidP="00F724C7">
            <w:pPr>
              <w:pStyle w:val="Heading2"/>
              <w:outlineLvl w:val="1"/>
            </w:pPr>
            <w:r w:rsidRPr="000436EF">
              <w:t>Leak Testing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14:paraId="07D3E69A" w14:textId="77777777" w:rsidR="007528A6" w:rsidRPr="000436EF" w:rsidRDefault="007528A6" w:rsidP="00F80495"/>
        </w:tc>
        <w:tc>
          <w:tcPr>
            <w:tcW w:w="540" w:type="dxa"/>
            <w:shd w:val="clear" w:color="auto" w:fill="DEEAF6" w:themeFill="accent1" w:themeFillTint="33"/>
          </w:tcPr>
          <w:p w14:paraId="67425113" w14:textId="77777777" w:rsidR="007528A6" w:rsidRPr="000436EF" w:rsidRDefault="007528A6" w:rsidP="00F80495"/>
        </w:tc>
        <w:tc>
          <w:tcPr>
            <w:tcW w:w="3415" w:type="dxa"/>
            <w:shd w:val="clear" w:color="auto" w:fill="DEEAF6" w:themeFill="accent1" w:themeFillTint="33"/>
          </w:tcPr>
          <w:p w14:paraId="0A0D9C82" w14:textId="6B35BE56" w:rsidR="007528A6" w:rsidRPr="000436EF" w:rsidRDefault="007528A6" w:rsidP="00F80495"/>
        </w:tc>
      </w:tr>
      <w:tr w:rsidR="00A36D9A" w:rsidRPr="00944AF8" w14:paraId="50344A6C" w14:textId="77777777" w:rsidTr="000436EF">
        <w:trPr>
          <w:trHeight w:val="260"/>
        </w:trPr>
        <w:tc>
          <w:tcPr>
            <w:tcW w:w="6217" w:type="dxa"/>
          </w:tcPr>
          <w:p w14:paraId="32DE5000" w14:textId="159DE75F" w:rsidR="007F61E6" w:rsidRPr="000436EF" w:rsidRDefault="00A05767" w:rsidP="0006448D">
            <w:r w:rsidRPr="000436EF">
              <w:t>P</w:t>
            </w:r>
            <w:r w:rsidR="007F61E6" w:rsidRPr="000436EF">
              <w:t>erforms leak test</w:t>
            </w:r>
            <w:r w:rsidR="0006448D" w:rsidRPr="000436EF">
              <w:t>ing</w:t>
            </w:r>
            <w:r w:rsidR="007F61E6" w:rsidRPr="000436EF">
              <w:t xml:space="preserve"> before manual cleaning if indicated</w:t>
            </w:r>
            <w:r w:rsidR="0006448D" w:rsidRPr="000436EF">
              <w:t>.</w:t>
            </w:r>
          </w:p>
        </w:tc>
        <w:tc>
          <w:tcPr>
            <w:tcW w:w="618" w:type="dxa"/>
          </w:tcPr>
          <w:p w14:paraId="15AFDA2F" w14:textId="77777777" w:rsidR="007F61E6" w:rsidRPr="000436EF" w:rsidRDefault="007F61E6" w:rsidP="00A6554C"/>
        </w:tc>
        <w:tc>
          <w:tcPr>
            <w:tcW w:w="540" w:type="dxa"/>
          </w:tcPr>
          <w:p w14:paraId="1651E9CF" w14:textId="77777777" w:rsidR="007F61E6" w:rsidRPr="000436EF" w:rsidRDefault="007F61E6" w:rsidP="00A6554C"/>
        </w:tc>
        <w:tc>
          <w:tcPr>
            <w:tcW w:w="3415" w:type="dxa"/>
          </w:tcPr>
          <w:p w14:paraId="5F836E88" w14:textId="77777777" w:rsidR="007F61E6" w:rsidRPr="000436EF" w:rsidRDefault="007F61E6" w:rsidP="00A6554C"/>
        </w:tc>
      </w:tr>
      <w:tr w:rsidR="007528A6" w:rsidRPr="00944AF8" w14:paraId="5A98D348" w14:textId="77777777" w:rsidTr="000436EF">
        <w:tc>
          <w:tcPr>
            <w:tcW w:w="6217" w:type="dxa"/>
            <w:shd w:val="clear" w:color="auto" w:fill="DEEAF6" w:themeFill="accent1" w:themeFillTint="33"/>
          </w:tcPr>
          <w:p w14:paraId="7646542B" w14:textId="7CB48FE9" w:rsidR="007528A6" w:rsidRPr="000436EF" w:rsidRDefault="007528A6" w:rsidP="00F724C7">
            <w:pPr>
              <w:pStyle w:val="Heading2"/>
              <w:outlineLvl w:val="1"/>
            </w:pPr>
            <w:r w:rsidRPr="000436EF">
              <w:t>Manual Cleaning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14:paraId="411CF7AD" w14:textId="77777777" w:rsidR="007528A6" w:rsidRPr="000436EF" w:rsidRDefault="007528A6" w:rsidP="00F80495"/>
        </w:tc>
        <w:tc>
          <w:tcPr>
            <w:tcW w:w="540" w:type="dxa"/>
            <w:shd w:val="clear" w:color="auto" w:fill="DEEAF6" w:themeFill="accent1" w:themeFillTint="33"/>
          </w:tcPr>
          <w:p w14:paraId="0F567148" w14:textId="77777777" w:rsidR="007528A6" w:rsidRPr="000436EF" w:rsidRDefault="007528A6" w:rsidP="00F80495"/>
        </w:tc>
        <w:tc>
          <w:tcPr>
            <w:tcW w:w="3415" w:type="dxa"/>
            <w:shd w:val="clear" w:color="auto" w:fill="DEEAF6" w:themeFill="accent1" w:themeFillTint="33"/>
          </w:tcPr>
          <w:p w14:paraId="093BEA51" w14:textId="563EC51E" w:rsidR="007528A6" w:rsidRPr="000436EF" w:rsidRDefault="007528A6" w:rsidP="00F80495"/>
        </w:tc>
      </w:tr>
      <w:tr w:rsidR="00A36D9A" w:rsidRPr="00944AF8" w14:paraId="77687E80" w14:textId="77777777" w:rsidTr="000436EF">
        <w:tc>
          <w:tcPr>
            <w:tcW w:w="6217" w:type="dxa"/>
          </w:tcPr>
          <w:p w14:paraId="6A4B1B2B" w14:textId="3CB2F59F" w:rsidR="007F61E6" w:rsidRPr="000436EF" w:rsidRDefault="00A05767" w:rsidP="008B0FBD">
            <w:r w:rsidRPr="000436EF">
              <w:t>U</w:t>
            </w:r>
            <w:r w:rsidR="00B25D41" w:rsidRPr="000436EF">
              <w:t>ses a freshly prepared cleaning solution and do</w:t>
            </w:r>
            <w:r w:rsidR="00DA3B85" w:rsidRPr="000436EF">
              <w:t>e</w:t>
            </w:r>
            <w:r w:rsidR="00B25D41" w:rsidRPr="000436EF">
              <w:t xml:space="preserve">s not add </w:t>
            </w:r>
            <w:r w:rsidR="008B0FBD" w:rsidRPr="000436EF">
              <w:t xml:space="preserve">additional </w:t>
            </w:r>
            <w:r w:rsidR="00B25D41" w:rsidRPr="000436EF">
              <w:t xml:space="preserve">products to the water </w:t>
            </w:r>
            <w:r w:rsidR="00AD2A74" w:rsidRPr="000436EF">
              <w:t>unless recommended by the manufacturer.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E5E1FDA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5BF8E93A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771839A6" w14:textId="77777777" w:rsidR="007F61E6" w:rsidRPr="000436EF" w:rsidRDefault="007F61E6" w:rsidP="00DD6782"/>
        </w:tc>
      </w:tr>
      <w:tr w:rsidR="00A36D9A" w:rsidRPr="00944AF8" w14:paraId="0BCA7CD6" w14:textId="77777777" w:rsidTr="000436EF">
        <w:tc>
          <w:tcPr>
            <w:tcW w:w="6217" w:type="dxa"/>
          </w:tcPr>
          <w:p w14:paraId="34CD5609" w14:textId="3CAC1AF1" w:rsidR="007F61E6" w:rsidRPr="000436EF" w:rsidRDefault="00A05767" w:rsidP="0006448D">
            <w:r w:rsidRPr="000436EF">
              <w:t>C</w:t>
            </w:r>
            <w:r w:rsidR="00B25D41" w:rsidRPr="000436EF">
              <w:t>ompletely submerges</w:t>
            </w:r>
            <w:r w:rsidR="00DA3B85" w:rsidRPr="000436EF">
              <w:t xml:space="preserve"> the</w:t>
            </w:r>
            <w:r w:rsidR="00B25D41" w:rsidRPr="000436EF">
              <w:t xml:space="preserve"> endoscope and accessories</w:t>
            </w:r>
            <w:r w:rsidR="0006448D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46A5DC7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3F9C7236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6FD65011" w14:textId="77777777" w:rsidR="007F61E6" w:rsidRPr="000436EF" w:rsidRDefault="007F61E6" w:rsidP="00DD6782"/>
        </w:tc>
      </w:tr>
      <w:tr w:rsidR="00A36D9A" w:rsidRPr="00944AF8" w14:paraId="1B1DD649" w14:textId="77777777" w:rsidTr="000436EF">
        <w:tc>
          <w:tcPr>
            <w:tcW w:w="6217" w:type="dxa"/>
          </w:tcPr>
          <w:p w14:paraId="649A7DE7" w14:textId="4F5D39F4" w:rsidR="007F61E6" w:rsidRPr="000436EF" w:rsidRDefault="00A05767" w:rsidP="0006448D">
            <w:r w:rsidRPr="000436EF">
              <w:t>C</w:t>
            </w:r>
            <w:r w:rsidR="00B25D41" w:rsidRPr="000436EF">
              <w:t>leans exterior surfaces of the endoscope with a soft, lint-free cloth or sponge</w:t>
            </w:r>
            <w:r w:rsidR="0006448D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5DCE34F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5608FFC0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32484F7A" w14:textId="77777777" w:rsidR="007F61E6" w:rsidRPr="000436EF" w:rsidRDefault="007F61E6" w:rsidP="00DD6782"/>
        </w:tc>
      </w:tr>
      <w:tr w:rsidR="00A36D9A" w:rsidRPr="00944AF8" w14:paraId="666017C6" w14:textId="77777777" w:rsidTr="000436EF">
        <w:tc>
          <w:tcPr>
            <w:tcW w:w="6217" w:type="dxa"/>
          </w:tcPr>
          <w:p w14:paraId="1167A2AE" w14:textId="04F1E449" w:rsidR="007F61E6" w:rsidRPr="000436EF" w:rsidRDefault="00A05767" w:rsidP="0006448D">
            <w:r w:rsidRPr="000436EF">
              <w:t>C</w:t>
            </w:r>
            <w:r w:rsidR="00B25D41" w:rsidRPr="000436EF">
              <w:t>leans all accessible channels and the end of the endoscope with a cleaning brush of the length, width, and material recommended by the endoscope manufacturer</w:t>
            </w:r>
            <w:r w:rsidR="0006448D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FD8A9D4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45F801D5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566B1DB9" w14:textId="77777777" w:rsidR="007F61E6" w:rsidRPr="000436EF" w:rsidRDefault="007F61E6" w:rsidP="00DD6782"/>
        </w:tc>
      </w:tr>
      <w:tr w:rsidR="00A36D9A" w:rsidRPr="00944AF8" w14:paraId="60CF50A0" w14:textId="77777777" w:rsidTr="000436EF">
        <w:tc>
          <w:tcPr>
            <w:tcW w:w="6217" w:type="dxa"/>
          </w:tcPr>
          <w:p w14:paraId="3BA64B16" w14:textId="0C54ED42" w:rsidR="00643CAD" w:rsidRPr="000436EF" w:rsidRDefault="00643CAD" w:rsidP="0006448D">
            <w:r w:rsidRPr="000436EF">
              <w:t>Uses a clean brush for each endoscope cleaning.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59B4F06" w14:textId="77777777" w:rsidR="00643CAD" w:rsidRPr="000436EF" w:rsidRDefault="00643CAD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623396AF" w14:textId="77777777" w:rsidR="00643CAD" w:rsidRPr="000436EF" w:rsidRDefault="00643CAD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70289B00" w14:textId="77777777" w:rsidR="00643CAD" w:rsidRPr="000436EF" w:rsidRDefault="00643CAD" w:rsidP="00DD6782"/>
        </w:tc>
      </w:tr>
      <w:tr w:rsidR="00A36D9A" w:rsidRPr="00944AF8" w14:paraId="2D23F39D" w14:textId="77777777" w:rsidTr="000436EF">
        <w:tc>
          <w:tcPr>
            <w:tcW w:w="6217" w:type="dxa"/>
          </w:tcPr>
          <w:p w14:paraId="6EE3EEEF" w14:textId="3BC82933" w:rsidR="007F61E6" w:rsidRPr="000436EF" w:rsidRDefault="00A05767" w:rsidP="008B0FBD">
            <w:r w:rsidRPr="000436EF">
              <w:t>I</w:t>
            </w:r>
            <w:r w:rsidR="00DA3B85" w:rsidRPr="000436EF">
              <w:t xml:space="preserve">f the endoscope has an elevator, </w:t>
            </w:r>
            <w:r w:rsidR="007B05C6" w:rsidRPr="000436EF">
              <w:t>raises and lowers the elevator throughout the manual cleaning process</w:t>
            </w:r>
            <w:r w:rsidR="0006448D" w:rsidRPr="000436EF">
              <w:t>.</w:t>
            </w:r>
            <w:r w:rsidR="007B05C6" w:rsidRPr="000436EF">
              <w:t xml:space="preserve">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39523665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21FD8601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160A8884" w14:textId="77777777" w:rsidR="007F61E6" w:rsidRPr="000436EF" w:rsidRDefault="007F61E6" w:rsidP="00DD6782"/>
        </w:tc>
      </w:tr>
      <w:tr w:rsidR="00A36D9A" w:rsidRPr="00944AF8" w14:paraId="61E614BC" w14:textId="77777777" w:rsidTr="000436EF">
        <w:tc>
          <w:tcPr>
            <w:tcW w:w="6217" w:type="dxa"/>
          </w:tcPr>
          <w:p w14:paraId="7F5F40A1" w14:textId="63FA2BA0" w:rsidR="007F61E6" w:rsidRPr="000436EF" w:rsidRDefault="00A05767" w:rsidP="0006448D">
            <w:r w:rsidRPr="000436EF">
              <w:t>B</w:t>
            </w:r>
            <w:r w:rsidR="007B05C6" w:rsidRPr="000436EF">
              <w:t>rushes the accessible channels until no debris appears on the brush</w:t>
            </w:r>
            <w:r w:rsidR="0006448D" w:rsidRPr="000436EF">
              <w:t>.</w:t>
            </w:r>
            <w:r w:rsidR="00183B67" w:rsidRPr="000436EF">
              <w:t xml:space="preserve"> 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43F5887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0D33E639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1B13CE82" w14:textId="77777777" w:rsidR="007F61E6" w:rsidRPr="000436EF" w:rsidRDefault="007F61E6" w:rsidP="00DD6782"/>
        </w:tc>
      </w:tr>
      <w:tr w:rsidR="00A36D9A" w:rsidRPr="00944AF8" w14:paraId="0F7465B5" w14:textId="77777777" w:rsidTr="000436EF">
        <w:tc>
          <w:tcPr>
            <w:tcW w:w="6217" w:type="dxa"/>
          </w:tcPr>
          <w:p w14:paraId="7D632AC5" w14:textId="1B3B4488" w:rsidR="007F61E6" w:rsidRPr="000436EF" w:rsidRDefault="00A05767" w:rsidP="0006448D">
            <w:r w:rsidRPr="000436EF">
              <w:t>R</w:t>
            </w:r>
            <w:r w:rsidR="007B05C6" w:rsidRPr="000436EF">
              <w:t>emoves debris before retracting the brush</w:t>
            </w:r>
            <w:r w:rsidR="00F1696C" w:rsidRPr="000436EF">
              <w:t xml:space="preserve"> back through the endoscope</w:t>
            </w:r>
            <w:r w:rsidR="0006448D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06CB689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45A3800F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2C749492" w14:textId="77777777" w:rsidR="007F61E6" w:rsidRPr="000436EF" w:rsidRDefault="007F61E6" w:rsidP="00DD6782"/>
        </w:tc>
      </w:tr>
      <w:tr w:rsidR="00A36D9A" w:rsidRPr="00944AF8" w14:paraId="3D742428" w14:textId="77777777" w:rsidTr="000436EF">
        <w:tc>
          <w:tcPr>
            <w:tcW w:w="6217" w:type="dxa"/>
          </w:tcPr>
          <w:p w14:paraId="56B4B324" w14:textId="42E34331" w:rsidR="007F61E6" w:rsidRPr="000436EF" w:rsidRDefault="00A05767" w:rsidP="0006448D">
            <w:r w:rsidRPr="000436EF">
              <w:t>F</w:t>
            </w:r>
            <w:r w:rsidR="007B05C6" w:rsidRPr="000436EF">
              <w:t>lushes the channels of the endoscope with the cleaning solution</w:t>
            </w:r>
            <w:r w:rsidR="0006448D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D4953F7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312711D5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42E3EFD2" w14:textId="77777777" w:rsidR="007F61E6" w:rsidRPr="000436EF" w:rsidRDefault="007F61E6" w:rsidP="00DD6782"/>
        </w:tc>
      </w:tr>
      <w:tr w:rsidR="00A36D9A" w:rsidRPr="00944AF8" w14:paraId="668EFFD6" w14:textId="77777777" w:rsidTr="000436EF">
        <w:tc>
          <w:tcPr>
            <w:tcW w:w="6217" w:type="dxa"/>
          </w:tcPr>
          <w:p w14:paraId="487170F5" w14:textId="16F99D45" w:rsidR="008B0FBD" w:rsidRPr="000436EF" w:rsidRDefault="008B0FBD" w:rsidP="0006448D">
            <w:r w:rsidRPr="000436EF">
              <w:t>Manually actuates the valves during the cleaning process.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30746C3" w14:textId="77777777" w:rsidR="008B0FBD" w:rsidRPr="000436EF" w:rsidRDefault="008B0FBD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093285ED" w14:textId="77777777" w:rsidR="008B0FBD" w:rsidRPr="000436EF" w:rsidRDefault="008B0FBD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72489BD4" w14:textId="77777777" w:rsidR="008B0FBD" w:rsidRPr="000436EF" w:rsidRDefault="008B0FBD" w:rsidP="00DD6782"/>
        </w:tc>
      </w:tr>
      <w:tr w:rsidR="00A36D9A" w:rsidRPr="00944AF8" w14:paraId="3FB07E84" w14:textId="77777777" w:rsidTr="000436EF">
        <w:tc>
          <w:tcPr>
            <w:tcW w:w="6217" w:type="dxa"/>
            <w:tcBorders>
              <w:bottom w:val="single" w:sz="4" w:space="0" w:color="auto"/>
            </w:tcBorders>
          </w:tcPr>
          <w:p w14:paraId="319A62D5" w14:textId="01132275" w:rsidR="007F61E6" w:rsidRPr="000436EF" w:rsidRDefault="00A05767" w:rsidP="008B0FBD">
            <w:r w:rsidRPr="000436EF">
              <w:t>F</w:t>
            </w:r>
            <w:r w:rsidR="007B05C6" w:rsidRPr="000436EF">
              <w:t>lushes and rinses exterior surfaces and internal channels with water until all cleaning solution and residual debris is removed</w:t>
            </w:r>
            <w:r w:rsidR="00F80495"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ACE4A17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26FD1D7D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576102AD" w14:textId="77777777" w:rsidR="007F61E6" w:rsidRPr="000436EF" w:rsidRDefault="007F61E6" w:rsidP="00DD6782"/>
        </w:tc>
      </w:tr>
      <w:tr w:rsidR="00A36D9A" w:rsidRPr="00944AF8" w14:paraId="3C2477BD" w14:textId="77777777" w:rsidTr="000436EF">
        <w:tc>
          <w:tcPr>
            <w:tcW w:w="6217" w:type="dxa"/>
            <w:tcBorders>
              <w:bottom w:val="single" w:sz="4" w:space="0" w:color="auto"/>
            </w:tcBorders>
          </w:tcPr>
          <w:p w14:paraId="76B4D4F3" w14:textId="5222485E" w:rsidR="007F61E6" w:rsidRPr="000436EF" w:rsidRDefault="00AA4E1B" w:rsidP="00F80495">
            <w:r w:rsidRPr="000436EF">
              <w:t>Dries exterior surfaces and removable parts of the endoscope and purges all channels with air.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25A7514" w14:textId="77777777" w:rsidR="007F61E6" w:rsidRPr="000436EF" w:rsidRDefault="007F61E6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334A2B0D" w14:textId="77777777" w:rsidR="007F61E6" w:rsidRPr="000436EF" w:rsidRDefault="007F61E6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3F6260B3" w14:textId="77777777" w:rsidR="007F61E6" w:rsidRPr="000436EF" w:rsidRDefault="007F61E6" w:rsidP="00DD6782"/>
        </w:tc>
      </w:tr>
      <w:tr w:rsidR="00A36D9A" w:rsidRPr="00944AF8" w14:paraId="6FF74E3C" w14:textId="77777777" w:rsidTr="000436EF">
        <w:tc>
          <w:tcPr>
            <w:tcW w:w="6217" w:type="dxa"/>
            <w:tcBorders>
              <w:bottom w:val="single" w:sz="4" w:space="0" w:color="auto"/>
            </w:tcBorders>
          </w:tcPr>
          <w:p w14:paraId="0871D657" w14:textId="5F5A6753" w:rsidR="00F1696C" w:rsidRPr="000436EF" w:rsidRDefault="00F1696C" w:rsidP="00F1696C">
            <w:r w:rsidRPr="000436EF">
              <w:t>Reprocesses reusable parts, accessories, and cleaning implements according to the manufacturer’s instructions for use (IFU).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238765D" w14:textId="77777777" w:rsidR="00F1696C" w:rsidRPr="000436EF" w:rsidRDefault="00F1696C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1B218E73" w14:textId="77777777" w:rsidR="00F1696C" w:rsidRPr="000436EF" w:rsidRDefault="00F1696C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7162A23F" w14:textId="77777777" w:rsidR="00F1696C" w:rsidRPr="000436EF" w:rsidRDefault="00F1696C" w:rsidP="00DD6782"/>
        </w:tc>
      </w:tr>
      <w:tr w:rsidR="00A36D9A" w:rsidRPr="00944AF8" w14:paraId="194185C0" w14:textId="77777777" w:rsidTr="000436EF">
        <w:tc>
          <w:tcPr>
            <w:tcW w:w="6217" w:type="dxa"/>
            <w:tcBorders>
              <w:bottom w:val="single" w:sz="4" w:space="0" w:color="auto"/>
            </w:tcBorders>
          </w:tcPr>
          <w:p w14:paraId="5A0DE8D4" w14:textId="13E0B527" w:rsidR="00F1696C" w:rsidRPr="000436EF" w:rsidRDefault="00F1696C" w:rsidP="00F80495">
            <w:r w:rsidRPr="000436EF">
              <w:t>Disposes of single-use parts, accessories, and cleaning implements.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2A9FE75" w14:textId="77777777" w:rsidR="00F1696C" w:rsidRPr="000436EF" w:rsidRDefault="00F1696C" w:rsidP="00DD6782"/>
        </w:tc>
        <w:tc>
          <w:tcPr>
            <w:tcW w:w="540" w:type="dxa"/>
            <w:tcBorders>
              <w:bottom w:val="single" w:sz="4" w:space="0" w:color="auto"/>
            </w:tcBorders>
          </w:tcPr>
          <w:p w14:paraId="2E93A87F" w14:textId="77777777" w:rsidR="00F1696C" w:rsidRPr="000436EF" w:rsidRDefault="00F1696C" w:rsidP="00DD6782"/>
        </w:tc>
        <w:tc>
          <w:tcPr>
            <w:tcW w:w="3415" w:type="dxa"/>
            <w:tcBorders>
              <w:bottom w:val="single" w:sz="4" w:space="0" w:color="auto"/>
            </w:tcBorders>
          </w:tcPr>
          <w:p w14:paraId="71B3C961" w14:textId="77777777" w:rsidR="00F1696C" w:rsidRPr="000436EF" w:rsidRDefault="00F1696C" w:rsidP="00DD6782"/>
        </w:tc>
      </w:tr>
      <w:tr w:rsidR="007528A6" w:rsidRPr="00944AF8" w14:paraId="6B9D1BE1" w14:textId="77777777" w:rsidTr="00F724C7">
        <w:tc>
          <w:tcPr>
            <w:tcW w:w="6217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226A35D5" w14:textId="7094E5A0" w:rsidR="007528A6" w:rsidRPr="000436EF" w:rsidRDefault="007528A6" w:rsidP="00F724C7">
            <w:pPr>
              <w:pStyle w:val="Heading2"/>
              <w:outlineLvl w:val="1"/>
            </w:pPr>
            <w:r w:rsidRPr="000436EF">
              <w:lastRenderedPageBreak/>
              <w:t>Inspection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49E5F2D6" w14:textId="77777777" w:rsidR="007528A6" w:rsidRPr="000436EF" w:rsidRDefault="007528A6" w:rsidP="005436CB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15A1D3DC" w14:textId="77777777" w:rsidR="007528A6" w:rsidRPr="000436EF" w:rsidRDefault="007528A6" w:rsidP="005436CB"/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76851C57" w14:textId="358EFF53" w:rsidR="007528A6" w:rsidRPr="000436EF" w:rsidRDefault="007528A6" w:rsidP="005436CB"/>
        </w:tc>
      </w:tr>
      <w:tr w:rsidR="00A36D9A" w:rsidRPr="00944AF8" w14:paraId="4053B8FB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1C0B194" w14:textId="78695247" w:rsidR="00527CEE" w:rsidRPr="000436EF" w:rsidRDefault="00527CEE" w:rsidP="005436CB">
            <w:r w:rsidRPr="000436EF">
              <w:t>Inspects and evaluates endoscopes and accessories for</w:t>
            </w:r>
          </w:p>
          <w:p w14:paraId="42D38396" w14:textId="6377AB18" w:rsidR="00527CEE" w:rsidRPr="000436EF" w:rsidRDefault="00527CEE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cleanliness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14:paraId="4F02BD88" w14:textId="77777777" w:rsidR="00527CEE" w:rsidRPr="000436EF" w:rsidRDefault="00527CEE" w:rsidP="005436CB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14:paraId="372DE5AB" w14:textId="77777777" w:rsidR="00527CEE" w:rsidRPr="000436EF" w:rsidRDefault="00527CEE" w:rsidP="005436CB"/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14:paraId="5FDD1AA3" w14:textId="166C2CE3" w:rsidR="00527CEE" w:rsidRPr="000436EF" w:rsidRDefault="00527CEE" w:rsidP="005436CB"/>
        </w:tc>
      </w:tr>
      <w:tr w:rsidR="00A36D9A" w:rsidRPr="00944AF8" w14:paraId="26374329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C3D58FA" w14:textId="3FB59C8D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missing parts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88B4A3C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2ABAA5A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EB30E45" w14:textId="77777777" w:rsidR="005436CB" w:rsidRPr="000436EF" w:rsidRDefault="005436CB" w:rsidP="005436CB"/>
        </w:tc>
      </w:tr>
      <w:tr w:rsidR="00A36D9A" w:rsidRPr="00944AF8" w14:paraId="10E37B81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C51E88A" w14:textId="3543B633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clarity of lenses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D52CD0C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C913A2C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A718AB8" w14:textId="77777777" w:rsidR="005436CB" w:rsidRPr="000436EF" w:rsidRDefault="005436CB" w:rsidP="005436CB"/>
        </w:tc>
      </w:tr>
      <w:tr w:rsidR="00A36D9A" w:rsidRPr="00944AF8" w14:paraId="2D216961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3F1216B" w14:textId="01B1885D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integrity of seals and gaskets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49BBC0B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589D85A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43DACF7" w14:textId="77777777" w:rsidR="005436CB" w:rsidRPr="000436EF" w:rsidRDefault="005436CB" w:rsidP="005436CB"/>
        </w:tc>
      </w:tr>
      <w:tr w:rsidR="00A36D9A" w:rsidRPr="00944AF8" w14:paraId="63EB8C2E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28B1E4C" w14:textId="12C9165A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physical or chemical damage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E1631FB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4886B5C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08B87F4" w14:textId="77777777" w:rsidR="005436CB" w:rsidRPr="000436EF" w:rsidRDefault="005436CB" w:rsidP="005436CB"/>
        </w:tc>
      </w:tr>
      <w:tr w:rsidR="00A36D9A" w:rsidRPr="00944AF8" w14:paraId="428A9DBB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E413C88" w14:textId="476B47E0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moisture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7BBE00E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D8F7131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2F66B9A" w14:textId="77777777" w:rsidR="005436CB" w:rsidRPr="000436EF" w:rsidRDefault="005436CB" w:rsidP="005436CB"/>
        </w:tc>
      </w:tr>
      <w:tr w:rsidR="00A36D9A" w:rsidRPr="00944AF8" w14:paraId="46796FA8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9853417" w14:textId="79B12A4C" w:rsidR="005436CB" w:rsidRPr="000436EF" w:rsidRDefault="005436CB" w:rsidP="004368FE">
            <w:pPr>
              <w:pStyle w:val="ListParagraph"/>
              <w:numPr>
                <w:ilvl w:val="0"/>
                <w:numId w:val="40"/>
              </w:numPr>
            </w:pPr>
            <w:r w:rsidRPr="000436EF">
              <w:t>function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62C3D29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A330976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2FEDD37" w14:textId="77777777" w:rsidR="005436CB" w:rsidRPr="000436EF" w:rsidRDefault="005436CB" w:rsidP="005436CB"/>
        </w:tc>
      </w:tr>
      <w:tr w:rsidR="00A36D9A" w:rsidRPr="00944AF8" w14:paraId="6D657158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EA88EE4" w14:textId="4B470A3F" w:rsidR="005436CB" w:rsidRPr="000436EF" w:rsidRDefault="005436CB" w:rsidP="00616E50">
            <w:r w:rsidRPr="000436EF">
              <w:t>Uses additional illumination and magnification for inspection</w:t>
            </w:r>
            <w:r w:rsidR="00930688" w:rsidRPr="000436EF">
              <w:t xml:space="preserve">, </w:t>
            </w:r>
            <w:r w:rsidR="00616E50" w:rsidRPr="000436EF">
              <w:t>as</w:t>
            </w:r>
            <w:r w:rsidR="00930688" w:rsidRPr="000436EF">
              <w:t xml:space="preserve"> needed</w:t>
            </w:r>
            <w:r w:rsidRPr="000436EF">
              <w:t>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37EBB57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FE5AB68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8ED9478" w14:textId="77777777" w:rsidR="005436CB" w:rsidRPr="000436EF" w:rsidRDefault="005436CB" w:rsidP="005436CB"/>
        </w:tc>
      </w:tr>
      <w:tr w:rsidR="007528A6" w:rsidRPr="00944AF8" w14:paraId="27A37229" w14:textId="77777777" w:rsidTr="00F724C7">
        <w:tc>
          <w:tcPr>
            <w:tcW w:w="6217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6F26C1C3" w14:textId="3F4BF484" w:rsidR="007528A6" w:rsidRPr="000436EF" w:rsidRDefault="007528A6" w:rsidP="00F724C7">
            <w:pPr>
              <w:pStyle w:val="Heading2"/>
              <w:outlineLvl w:val="1"/>
            </w:pPr>
            <w:r w:rsidRPr="000436EF">
              <w:t>High-level Disinfection or Sterilization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24230EFE" w14:textId="77777777" w:rsidR="007528A6" w:rsidRPr="000436EF" w:rsidRDefault="007528A6" w:rsidP="005436CB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7002FBD7" w14:textId="77777777" w:rsidR="007528A6" w:rsidRPr="000436EF" w:rsidRDefault="007528A6" w:rsidP="005436CB"/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5" w:type="dxa"/>
              <w:bottom w:w="14" w:type="dxa"/>
              <w:right w:w="115" w:type="dxa"/>
            </w:tcMar>
          </w:tcPr>
          <w:p w14:paraId="5B31FC28" w14:textId="33A38B48" w:rsidR="007528A6" w:rsidRPr="000436EF" w:rsidRDefault="007528A6" w:rsidP="005436CB"/>
        </w:tc>
      </w:tr>
      <w:tr w:rsidR="00A36D9A" w:rsidRPr="00944AF8" w14:paraId="7F15206D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E67BBBD" w14:textId="5FF0524E" w:rsidR="005436CB" w:rsidRPr="000436EF" w:rsidRDefault="005436CB" w:rsidP="005436CB">
            <w:r w:rsidRPr="000436EF">
              <w:t xml:space="preserve">Manually cleans the endoscope and accessories before mechanical or manual high-level disinfection or sterilization.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C9A21F2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0150420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14C16D8" w14:textId="77777777" w:rsidR="005436CB" w:rsidRPr="000436EF" w:rsidRDefault="005436CB" w:rsidP="005436CB"/>
        </w:tc>
      </w:tr>
      <w:tr w:rsidR="00A36D9A" w:rsidRPr="00944AF8" w14:paraId="3774B173" w14:textId="77777777" w:rsidTr="00F724C7">
        <w:tc>
          <w:tcPr>
            <w:tcW w:w="6217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F448637" w14:textId="519C7E13" w:rsidR="00BC2B99" w:rsidRPr="00F724C7" w:rsidRDefault="00BC2B99" w:rsidP="00F724C7">
            <w:pPr>
              <w:pStyle w:val="Heading3"/>
              <w:outlineLvl w:val="2"/>
            </w:pPr>
            <w:r w:rsidRPr="000436EF">
              <w:t xml:space="preserve">Mechanical </w:t>
            </w:r>
            <w:r w:rsidRPr="00F724C7">
              <w:t>methods</w:t>
            </w:r>
          </w:p>
          <w:p w14:paraId="3AC7368A" w14:textId="1C307247" w:rsidR="00BC2B99" w:rsidRPr="000436EF" w:rsidRDefault="00BC2B99" w:rsidP="00BC2B99">
            <w:r w:rsidRPr="000436EF">
              <w:t>Checks the expiration date of the high-level disinfectant or liquid chemical sterilant before each use.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78431BD" w14:textId="77777777" w:rsidR="00BC2B99" w:rsidRPr="000436EF" w:rsidRDefault="00BC2B99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574DED2" w14:textId="77777777" w:rsidR="00BC2B99" w:rsidRPr="000436EF" w:rsidRDefault="00BC2B99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F952337" w14:textId="77777777" w:rsidR="00BC2B99" w:rsidRPr="000436EF" w:rsidRDefault="00BC2B99" w:rsidP="005436CB"/>
        </w:tc>
      </w:tr>
      <w:tr w:rsidR="00A36D9A" w:rsidRPr="00944AF8" w14:paraId="2F37C028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46F61D76" w14:textId="6E4705F6" w:rsidR="00F76D43" w:rsidRPr="000436EF" w:rsidRDefault="00F76D43" w:rsidP="005436CB">
            <w:r w:rsidRPr="000436EF">
              <w:t xml:space="preserve">Uses a test strip or other FDA-cleared testing device specific to the disinfectant </w:t>
            </w:r>
            <w:r w:rsidR="003D52FC" w:rsidRPr="000436EF">
              <w:t xml:space="preserve">or liquid chemical sterilant </w:t>
            </w:r>
            <w:r w:rsidRPr="000436EF">
              <w:t>and minimum effective concentration of the active ingredient for monitoring solution potency before each use.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AD5075D" w14:textId="77777777" w:rsidR="00F76D43" w:rsidRPr="000436EF" w:rsidRDefault="00F76D43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09887047" w14:textId="77777777" w:rsidR="00F76D43" w:rsidRPr="000436EF" w:rsidRDefault="00F76D43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2480013" w14:textId="77777777" w:rsidR="00F76D43" w:rsidRPr="000436EF" w:rsidRDefault="00F76D43" w:rsidP="005436CB"/>
        </w:tc>
      </w:tr>
      <w:tr w:rsidR="00A36D9A" w:rsidRPr="00944AF8" w14:paraId="355E2A59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4B56BB07" w14:textId="463DDF1F" w:rsidR="005436CB" w:rsidRPr="000436EF" w:rsidRDefault="005436CB" w:rsidP="005436CB">
            <w:r w:rsidRPr="000436EF">
              <w:t>Positions endoscopes and accessories within the mechanical processor to ensure contact of the processing solutions with all surfaces of the endoscope.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951D0E3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2C76A09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73B9F62" w14:textId="77777777" w:rsidR="005436CB" w:rsidRPr="000436EF" w:rsidRDefault="005436CB" w:rsidP="005436CB"/>
        </w:tc>
      </w:tr>
      <w:tr w:rsidR="00A36D9A" w:rsidRPr="00944AF8" w14:paraId="56339219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7E5D2078" w14:textId="3E20DC55" w:rsidR="005436CB" w:rsidRPr="000436EF" w:rsidRDefault="005436CB" w:rsidP="005436CB">
            <w:r w:rsidRPr="000436EF">
              <w:t>Connects the endoscope to the mechanical processor correctly.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5B39C65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683B1D2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549AB0A" w14:textId="77777777" w:rsidR="005436CB" w:rsidRPr="000436EF" w:rsidRDefault="005436CB" w:rsidP="005436CB"/>
        </w:tc>
      </w:tr>
      <w:tr w:rsidR="00A36D9A" w:rsidRPr="00944AF8" w14:paraId="7F9AAF7C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037C8492" w14:textId="5FEB611A" w:rsidR="005436CB" w:rsidRPr="000436EF" w:rsidRDefault="005436CB" w:rsidP="005436CB">
            <w:r w:rsidRPr="000436EF">
              <w:t>Verifies mechanical processing cycles are completed as programmed.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AF6860A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E8125E5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B978A1F" w14:textId="77777777" w:rsidR="005436CB" w:rsidRPr="000436EF" w:rsidRDefault="005436CB" w:rsidP="005436CB"/>
        </w:tc>
      </w:tr>
      <w:tr w:rsidR="00A36D9A" w:rsidRPr="00944AF8" w14:paraId="59F5E534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61A625AF" w14:textId="2A65DD9B" w:rsidR="005436CB" w:rsidRPr="000436EF" w:rsidRDefault="005436CB" w:rsidP="00F724C7">
            <w:pPr>
              <w:pStyle w:val="Heading3"/>
              <w:outlineLvl w:val="2"/>
            </w:pPr>
            <w:r w:rsidRPr="000436EF">
              <w:t>Manual methods</w:t>
            </w:r>
          </w:p>
          <w:p w14:paraId="7E3A0C35" w14:textId="167053AE" w:rsidR="005436CB" w:rsidRPr="000436EF" w:rsidRDefault="00F76D43" w:rsidP="00F76D43">
            <w:r w:rsidRPr="000436EF">
              <w:t>Checks the expiration date of the high-level disinfect</w:t>
            </w:r>
            <w:r w:rsidR="003D52FC" w:rsidRPr="000436EF">
              <w:t>ant</w:t>
            </w:r>
            <w:r w:rsidRPr="000436EF">
              <w:t xml:space="preserve"> before each use.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3F354F4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90EC651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6DAFBAD" w14:textId="77777777" w:rsidR="005436CB" w:rsidRPr="000436EF" w:rsidRDefault="005436CB" w:rsidP="005436CB"/>
        </w:tc>
      </w:tr>
      <w:tr w:rsidR="00A36D9A" w:rsidRPr="00944AF8" w14:paraId="7DF319ED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2F0DBE93" w14:textId="7236A4B0" w:rsidR="00F76D43" w:rsidRPr="000436EF" w:rsidRDefault="00F76D43" w:rsidP="005436CB">
            <w:pPr>
              <w:rPr>
                <w:b/>
                <w:i/>
              </w:rPr>
            </w:pPr>
            <w:r w:rsidRPr="000436EF">
              <w:t>Uses a test strip or other FDA-cleared testing device specific to the disinfectant and minimum effective concentration of the active ingredient for monitoring solution potency before each use.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D54E512" w14:textId="77777777" w:rsidR="00F76D43" w:rsidRPr="000436EF" w:rsidRDefault="00F76D43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CE4AAF1" w14:textId="77777777" w:rsidR="00F76D43" w:rsidRPr="000436EF" w:rsidRDefault="00F76D43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B7EE3B9" w14:textId="77777777" w:rsidR="00F76D43" w:rsidRPr="000436EF" w:rsidRDefault="00F76D43" w:rsidP="005436CB"/>
        </w:tc>
      </w:tr>
      <w:tr w:rsidR="00A36D9A" w:rsidRPr="00944AF8" w14:paraId="303DF834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0E9984BF" w14:textId="5467B7A2" w:rsidR="004368FE" w:rsidRPr="000436EF" w:rsidRDefault="004368FE" w:rsidP="005436CB">
            <w:r w:rsidRPr="000436EF">
              <w:t>Flushes and fills lumens and ports with the high-level disinfectant.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2865972" w14:textId="77777777" w:rsidR="004368FE" w:rsidRPr="000436EF" w:rsidRDefault="004368FE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7223DE2" w14:textId="77777777" w:rsidR="004368FE" w:rsidRPr="000436EF" w:rsidRDefault="004368FE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7ACEE48" w14:textId="77777777" w:rsidR="004368FE" w:rsidRPr="000436EF" w:rsidRDefault="004368FE" w:rsidP="005436CB"/>
        </w:tc>
      </w:tr>
      <w:tr w:rsidR="00A36D9A" w:rsidRPr="00944AF8" w14:paraId="56C41306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3C3C2987" w14:textId="1FE2EAE7" w:rsidR="005436CB" w:rsidRPr="000436EF" w:rsidRDefault="005436CB" w:rsidP="005436CB">
            <w:r w:rsidRPr="000436EF">
              <w:t>Completely immerses the endoscope in the high-level disinfectant solution for the designated time according to the device and high-level disinfectant solution manufacturer’s IFU.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B11E473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87609C3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53614C97" w14:textId="77777777" w:rsidR="005436CB" w:rsidRPr="000436EF" w:rsidRDefault="005436CB" w:rsidP="005436CB"/>
        </w:tc>
      </w:tr>
      <w:tr w:rsidR="00A36D9A" w:rsidRPr="00944AF8" w14:paraId="734FAA42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0CF89C1F" w14:textId="46B6B3C1" w:rsidR="005436CB" w:rsidRPr="000436EF" w:rsidRDefault="005436CB" w:rsidP="006A3C62">
            <w:r w:rsidRPr="000436EF">
              <w:t xml:space="preserve">Rinses the endoscope with water </w:t>
            </w:r>
            <w:r w:rsidR="006A3C62" w:rsidRPr="000436EF">
              <w:t xml:space="preserve">that meets the manufacturer’s specification or as recommended by professional organizations </w:t>
            </w:r>
            <w:r w:rsidRPr="000436EF">
              <w:t>after disinfection.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889FE72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0F32333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2A9A0F74" w14:textId="77777777" w:rsidR="005436CB" w:rsidRPr="000436EF" w:rsidRDefault="005436CB" w:rsidP="005436CB"/>
        </w:tc>
      </w:tr>
      <w:tr w:rsidR="00A36D9A" w:rsidRPr="00944AF8" w14:paraId="1EC62FD6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70681E54" w14:textId="22C15677" w:rsidR="005436CB" w:rsidRPr="000436EF" w:rsidRDefault="005436CB" w:rsidP="00F724C7">
            <w:pPr>
              <w:pStyle w:val="Heading3"/>
              <w:outlineLvl w:val="2"/>
            </w:pPr>
            <w:r w:rsidRPr="000436EF">
              <w:t>May be required for both mechanical and manual methods</w:t>
            </w:r>
          </w:p>
          <w:p w14:paraId="5B9B4A04" w14:textId="6560791F" w:rsidR="005436CB" w:rsidRPr="000436EF" w:rsidRDefault="005436CB" w:rsidP="005436C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436EF">
              <w:rPr>
                <w:rFonts w:cs="Arial"/>
              </w:rPr>
              <w:t>Flushes lumens using 70% to 90% ethyl or isopropyl alcohol according to the endoscope manufacturer’s IFU.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F736DA4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A4225E3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16B4524E" w14:textId="77777777" w:rsidR="005436CB" w:rsidRPr="000436EF" w:rsidRDefault="005436CB" w:rsidP="005436CB"/>
        </w:tc>
      </w:tr>
      <w:tr w:rsidR="00A36D9A" w:rsidRPr="00944AF8" w14:paraId="47B0EFA1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7B85027B" w14:textId="19032159" w:rsidR="005436CB" w:rsidRPr="000436EF" w:rsidRDefault="005436CB" w:rsidP="005436CB">
            <w:r w:rsidRPr="000436EF">
              <w:t>Dries exterior surfaces and removable parts of the endoscope and purges all channels with air.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8BD1A94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49B16DEA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6D29528" w14:textId="77777777" w:rsidR="005436CB" w:rsidRPr="000436EF" w:rsidRDefault="005436CB" w:rsidP="005436CB"/>
        </w:tc>
      </w:tr>
      <w:tr w:rsidR="00A36D9A" w:rsidRPr="00944AF8" w14:paraId="64AAFB22" w14:textId="77777777" w:rsidTr="00F724C7">
        <w:tc>
          <w:tcPr>
            <w:tcW w:w="6217" w:type="dxa"/>
            <w:tcMar>
              <w:left w:w="115" w:type="dxa"/>
              <w:bottom w:w="14" w:type="dxa"/>
              <w:right w:w="115" w:type="dxa"/>
            </w:tcMar>
          </w:tcPr>
          <w:p w14:paraId="62EB0187" w14:textId="2E6C1769" w:rsidR="005436CB" w:rsidRPr="000436EF" w:rsidRDefault="005436CB" w:rsidP="00F724C7">
            <w:pPr>
              <w:pStyle w:val="Heading3"/>
              <w:outlineLvl w:val="2"/>
            </w:pPr>
            <w:r w:rsidRPr="000436EF">
              <w:lastRenderedPageBreak/>
              <w:t>Sterilization</w:t>
            </w:r>
          </w:p>
          <w:p w14:paraId="4EAA31B7" w14:textId="0D9A7CF2" w:rsidR="005436CB" w:rsidRPr="000436EF" w:rsidRDefault="005436CB" w:rsidP="005436CB">
            <w:r w:rsidRPr="000436EF">
              <w:t>Packages and sterilizes endoscopic accessories that enter sterile tissue or the vascular system per the health care facility’s policy and procedure.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724212F1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6BDDA31B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  <w:tcMar>
              <w:left w:w="115" w:type="dxa"/>
              <w:bottom w:w="14" w:type="dxa"/>
              <w:right w:w="115" w:type="dxa"/>
            </w:tcMar>
          </w:tcPr>
          <w:p w14:paraId="30C730E1" w14:textId="77777777" w:rsidR="005436CB" w:rsidRPr="000436EF" w:rsidRDefault="005436CB" w:rsidP="005436CB"/>
        </w:tc>
      </w:tr>
      <w:tr w:rsidR="007528A6" w:rsidRPr="00944AF8" w14:paraId="3EBEBE07" w14:textId="77777777" w:rsidTr="000436EF">
        <w:tc>
          <w:tcPr>
            <w:tcW w:w="6217" w:type="dxa"/>
            <w:shd w:val="clear" w:color="auto" w:fill="DEEAF6" w:themeFill="accent1" w:themeFillTint="33"/>
          </w:tcPr>
          <w:p w14:paraId="474420F2" w14:textId="5EA0A163" w:rsidR="007528A6" w:rsidRPr="000436EF" w:rsidRDefault="007528A6" w:rsidP="00F724C7">
            <w:pPr>
              <w:pStyle w:val="Heading2"/>
              <w:outlineLvl w:val="1"/>
            </w:pPr>
            <w:r w:rsidRPr="000436EF">
              <w:t>Storage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EE587CD" w14:textId="77777777" w:rsidR="007528A6" w:rsidRPr="000436EF" w:rsidRDefault="007528A6" w:rsidP="005436CB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6979DFD" w14:textId="77777777" w:rsidR="007528A6" w:rsidRPr="000436EF" w:rsidRDefault="007528A6" w:rsidP="005436CB"/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FA8EDFC" w14:textId="6916E895" w:rsidR="007528A6" w:rsidRPr="000436EF" w:rsidRDefault="007528A6" w:rsidP="005436CB"/>
        </w:tc>
      </w:tr>
      <w:tr w:rsidR="00A36D9A" w:rsidRPr="00944AF8" w14:paraId="59824D2A" w14:textId="77777777" w:rsidTr="000436EF">
        <w:tc>
          <w:tcPr>
            <w:tcW w:w="6217" w:type="dxa"/>
          </w:tcPr>
          <w:p w14:paraId="569A87E5" w14:textId="76D72B22" w:rsidR="005436CB" w:rsidRPr="000436EF" w:rsidRDefault="005436CB" w:rsidP="005436CB">
            <w:r w:rsidRPr="000436EF">
              <w:t>Wears clean gloves when transporting the endoscope to and from the storage cabinet.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15C44CC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</w:tcPr>
          <w:p w14:paraId="4BC7E91A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</w:tcPr>
          <w:p w14:paraId="4F465D9E" w14:textId="77777777" w:rsidR="005436CB" w:rsidRPr="000436EF" w:rsidRDefault="005436CB" w:rsidP="005436CB"/>
        </w:tc>
      </w:tr>
      <w:tr w:rsidR="00A36D9A" w:rsidRPr="00944AF8" w14:paraId="25E39E27" w14:textId="77777777" w:rsidTr="000436EF">
        <w:tc>
          <w:tcPr>
            <w:tcW w:w="6217" w:type="dxa"/>
          </w:tcPr>
          <w:p w14:paraId="496D4CB6" w14:textId="3DD01FED" w:rsidR="005436CB" w:rsidRPr="000436EF" w:rsidRDefault="005436CB" w:rsidP="005436CB">
            <w:r w:rsidRPr="000436EF">
              <w:t>Based on the cabinet design, stores flexible endoscopes horizontally or hangs them vertically so they do not coil or touch the floor of the cabinet.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124B73D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</w:tcPr>
          <w:p w14:paraId="78965FD2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</w:tcPr>
          <w:p w14:paraId="3BE6F221" w14:textId="77777777" w:rsidR="005436CB" w:rsidRPr="000436EF" w:rsidRDefault="005436CB" w:rsidP="005436CB"/>
        </w:tc>
      </w:tr>
      <w:tr w:rsidR="00A36D9A" w:rsidRPr="00944AF8" w14:paraId="4B26E0D7" w14:textId="77777777" w:rsidTr="000436EF">
        <w:tc>
          <w:tcPr>
            <w:tcW w:w="6217" w:type="dxa"/>
          </w:tcPr>
          <w:p w14:paraId="2BA79E13" w14:textId="2D374EA0" w:rsidR="005436CB" w:rsidRPr="000436EF" w:rsidRDefault="005436CB" w:rsidP="005436CB">
            <w:r w:rsidRPr="000436EF">
              <w:t>Stores the flexible endoscope with all valves open and removable parts detached.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8681C43" w14:textId="77777777" w:rsidR="005436CB" w:rsidRPr="000436EF" w:rsidRDefault="005436CB" w:rsidP="005436CB"/>
        </w:tc>
        <w:tc>
          <w:tcPr>
            <w:tcW w:w="540" w:type="dxa"/>
            <w:tcBorders>
              <w:bottom w:val="single" w:sz="4" w:space="0" w:color="auto"/>
            </w:tcBorders>
          </w:tcPr>
          <w:p w14:paraId="2D111C9E" w14:textId="77777777" w:rsidR="005436CB" w:rsidRPr="000436EF" w:rsidRDefault="005436CB" w:rsidP="005436CB"/>
        </w:tc>
        <w:tc>
          <w:tcPr>
            <w:tcW w:w="3415" w:type="dxa"/>
            <w:tcBorders>
              <w:bottom w:val="single" w:sz="4" w:space="0" w:color="auto"/>
            </w:tcBorders>
          </w:tcPr>
          <w:p w14:paraId="0483B0EB" w14:textId="77777777" w:rsidR="005436CB" w:rsidRPr="000436EF" w:rsidRDefault="005436CB" w:rsidP="005436CB"/>
        </w:tc>
      </w:tr>
      <w:tr w:rsidR="00A36D9A" w:rsidRPr="00944AF8" w14:paraId="392FC50D" w14:textId="77777777" w:rsidTr="000436EF">
        <w:tc>
          <w:tcPr>
            <w:tcW w:w="6217" w:type="dxa"/>
          </w:tcPr>
          <w:p w14:paraId="269152FC" w14:textId="45FFA308" w:rsidR="005436CB" w:rsidRPr="000436EF" w:rsidRDefault="005436CB" w:rsidP="005436CB">
            <w:r w:rsidRPr="000436EF">
              <w:t>Stores sterile items in a sterile storage area.</w:t>
            </w:r>
          </w:p>
        </w:tc>
        <w:tc>
          <w:tcPr>
            <w:tcW w:w="618" w:type="dxa"/>
          </w:tcPr>
          <w:p w14:paraId="30295A46" w14:textId="77777777" w:rsidR="005436CB" w:rsidRPr="000436EF" w:rsidRDefault="005436CB" w:rsidP="005436CB"/>
        </w:tc>
        <w:tc>
          <w:tcPr>
            <w:tcW w:w="540" w:type="dxa"/>
          </w:tcPr>
          <w:p w14:paraId="3D790945" w14:textId="77777777" w:rsidR="005436CB" w:rsidRPr="000436EF" w:rsidRDefault="005436CB" w:rsidP="005436CB"/>
        </w:tc>
        <w:tc>
          <w:tcPr>
            <w:tcW w:w="3415" w:type="dxa"/>
          </w:tcPr>
          <w:p w14:paraId="67656DBC" w14:textId="77777777" w:rsidR="005436CB" w:rsidRPr="000436EF" w:rsidRDefault="005436CB" w:rsidP="005436CB"/>
        </w:tc>
      </w:tr>
      <w:tr w:rsidR="007528A6" w:rsidRPr="00944AF8" w14:paraId="32302F3F" w14:textId="77777777" w:rsidTr="000436EF">
        <w:tc>
          <w:tcPr>
            <w:tcW w:w="6217" w:type="dxa"/>
            <w:shd w:val="clear" w:color="auto" w:fill="DEEAF6" w:themeFill="accent1" w:themeFillTint="33"/>
          </w:tcPr>
          <w:p w14:paraId="7045C9F5" w14:textId="2D1DAD33" w:rsidR="007528A6" w:rsidRPr="000436EF" w:rsidRDefault="007528A6" w:rsidP="00F724C7">
            <w:pPr>
              <w:pStyle w:val="Heading2"/>
              <w:outlineLvl w:val="1"/>
            </w:pPr>
            <w:r w:rsidRPr="000436EF">
              <w:t>Records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14:paraId="46F8C17C" w14:textId="77777777" w:rsidR="007528A6" w:rsidRPr="000436EF" w:rsidRDefault="007528A6" w:rsidP="005436CB"/>
        </w:tc>
        <w:tc>
          <w:tcPr>
            <w:tcW w:w="540" w:type="dxa"/>
            <w:shd w:val="clear" w:color="auto" w:fill="DEEAF6" w:themeFill="accent1" w:themeFillTint="33"/>
          </w:tcPr>
          <w:p w14:paraId="50237E06" w14:textId="77777777" w:rsidR="007528A6" w:rsidRPr="000436EF" w:rsidRDefault="007528A6" w:rsidP="005436CB"/>
        </w:tc>
        <w:tc>
          <w:tcPr>
            <w:tcW w:w="3415" w:type="dxa"/>
            <w:shd w:val="clear" w:color="auto" w:fill="DEEAF6" w:themeFill="accent1" w:themeFillTint="33"/>
          </w:tcPr>
          <w:p w14:paraId="40C07408" w14:textId="564F9AF6" w:rsidR="007528A6" w:rsidRPr="000436EF" w:rsidRDefault="007528A6" w:rsidP="005436CB"/>
        </w:tc>
      </w:tr>
      <w:tr w:rsidR="00A36D9A" w:rsidRPr="00944AF8" w14:paraId="28F55096" w14:textId="77777777" w:rsidTr="000436EF">
        <w:tc>
          <w:tcPr>
            <w:tcW w:w="6217" w:type="dxa"/>
          </w:tcPr>
          <w:p w14:paraId="0BC93AE2" w14:textId="59B42135" w:rsidR="00BC2B99" w:rsidRPr="000436EF" w:rsidRDefault="00BC2B99" w:rsidP="00F724C7">
            <w:pPr>
              <w:pStyle w:val="Heading3"/>
              <w:outlineLvl w:val="2"/>
            </w:pPr>
            <w:r w:rsidRPr="000436EF">
              <w:t xml:space="preserve">Processing </w:t>
            </w:r>
            <w:r w:rsidR="004368FE" w:rsidRPr="000436EF">
              <w:t>records include</w:t>
            </w:r>
          </w:p>
          <w:p w14:paraId="1EE08998" w14:textId="575A01F1" w:rsidR="00BC2B99" w:rsidRPr="000436EF" w:rsidRDefault="00BC2B99" w:rsidP="00BC2B99">
            <w:pPr>
              <w:pStyle w:val="ListParagraph"/>
              <w:numPr>
                <w:ilvl w:val="0"/>
                <w:numId w:val="38"/>
              </w:numPr>
            </w:pPr>
            <w:r w:rsidRPr="000436EF">
              <w:t>date and time</w:t>
            </w:r>
          </w:p>
        </w:tc>
        <w:tc>
          <w:tcPr>
            <w:tcW w:w="618" w:type="dxa"/>
          </w:tcPr>
          <w:p w14:paraId="270B4803" w14:textId="77777777" w:rsidR="00BC2B99" w:rsidRPr="000436EF" w:rsidRDefault="00BC2B99" w:rsidP="005436CB"/>
        </w:tc>
        <w:tc>
          <w:tcPr>
            <w:tcW w:w="540" w:type="dxa"/>
          </w:tcPr>
          <w:p w14:paraId="76D672FA" w14:textId="77777777" w:rsidR="00BC2B99" w:rsidRPr="000436EF" w:rsidRDefault="00BC2B99" w:rsidP="005436CB"/>
        </w:tc>
        <w:tc>
          <w:tcPr>
            <w:tcW w:w="3415" w:type="dxa"/>
          </w:tcPr>
          <w:p w14:paraId="1C05E37F" w14:textId="77777777" w:rsidR="00BC2B99" w:rsidRPr="000436EF" w:rsidRDefault="00BC2B99" w:rsidP="005436CB"/>
        </w:tc>
      </w:tr>
      <w:tr w:rsidR="00A36D9A" w:rsidRPr="00944AF8" w14:paraId="6CC0E912" w14:textId="77777777" w:rsidTr="000436EF">
        <w:tc>
          <w:tcPr>
            <w:tcW w:w="6217" w:type="dxa"/>
          </w:tcPr>
          <w:p w14:paraId="3D05A701" w14:textId="32223461" w:rsidR="00BC2B99" w:rsidRPr="000436EF" w:rsidRDefault="00BC2B99" w:rsidP="00BC2B99">
            <w:pPr>
              <w:pStyle w:val="ListParagraph"/>
              <w:numPr>
                <w:ilvl w:val="0"/>
                <w:numId w:val="38"/>
              </w:numPr>
            </w:pPr>
            <w:r w:rsidRPr="000436EF">
              <w:t>identity of endoscope and endoscope accessories</w:t>
            </w:r>
          </w:p>
        </w:tc>
        <w:tc>
          <w:tcPr>
            <w:tcW w:w="618" w:type="dxa"/>
          </w:tcPr>
          <w:p w14:paraId="1CE4A74F" w14:textId="77777777" w:rsidR="00BC2B99" w:rsidRPr="000436EF" w:rsidRDefault="00BC2B99" w:rsidP="005436CB"/>
        </w:tc>
        <w:tc>
          <w:tcPr>
            <w:tcW w:w="540" w:type="dxa"/>
          </w:tcPr>
          <w:p w14:paraId="0AF3424A" w14:textId="77777777" w:rsidR="00BC2B99" w:rsidRPr="000436EF" w:rsidRDefault="00BC2B99" w:rsidP="005436CB"/>
        </w:tc>
        <w:tc>
          <w:tcPr>
            <w:tcW w:w="3415" w:type="dxa"/>
          </w:tcPr>
          <w:p w14:paraId="3142DA64" w14:textId="77777777" w:rsidR="00BC2B99" w:rsidRPr="000436EF" w:rsidRDefault="00BC2B99" w:rsidP="005436CB"/>
        </w:tc>
      </w:tr>
      <w:tr w:rsidR="00A36D9A" w:rsidRPr="00944AF8" w14:paraId="0A577732" w14:textId="77777777" w:rsidTr="000436EF">
        <w:tc>
          <w:tcPr>
            <w:tcW w:w="6217" w:type="dxa"/>
          </w:tcPr>
          <w:p w14:paraId="6BCFF2D7" w14:textId="3AEF8F69" w:rsidR="00BC2B99" w:rsidRPr="000436EF" w:rsidRDefault="00BC2B99" w:rsidP="00BC2B99">
            <w:pPr>
              <w:pStyle w:val="ListParagraph"/>
              <w:numPr>
                <w:ilvl w:val="0"/>
                <w:numId w:val="38"/>
              </w:numPr>
            </w:pPr>
            <w:r w:rsidRPr="000436EF">
              <w:t>method and verification of cleaning and results of cleaning verification testing</w:t>
            </w:r>
          </w:p>
        </w:tc>
        <w:tc>
          <w:tcPr>
            <w:tcW w:w="618" w:type="dxa"/>
          </w:tcPr>
          <w:p w14:paraId="23A41BB7" w14:textId="77777777" w:rsidR="00BC2B99" w:rsidRPr="000436EF" w:rsidRDefault="00BC2B99" w:rsidP="005436CB"/>
        </w:tc>
        <w:tc>
          <w:tcPr>
            <w:tcW w:w="540" w:type="dxa"/>
          </w:tcPr>
          <w:p w14:paraId="69C80DD3" w14:textId="77777777" w:rsidR="00BC2B99" w:rsidRPr="000436EF" w:rsidRDefault="00BC2B99" w:rsidP="005436CB"/>
        </w:tc>
        <w:tc>
          <w:tcPr>
            <w:tcW w:w="3415" w:type="dxa"/>
          </w:tcPr>
          <w:p w14:paraId="3AC74965" w14:textId="77777777" w:rsidR="00BC2B99" w:rsidRPr="000436EF" w:rsidRDefault="00BC2B99" w:rsidP="005436CB"/>
        </w:tc>
      </w:tr>
      <w:tr w:rsidR="00A36D9A" w:rsidRPr="00944AF8" w14:paraId="5A1D1A79" w14:textId="77777777" w:rsidTr="000436EF">
        <w:tc>
          <w:tcPr>
            <w:tcW w:w="6217" w:type="dxa"/>
          </w:tcPr>
          <w:p w14:paraId="3ECEAED3" w14:textId="25AE3D57" w:rsidR="00BC2B99" w:rsidRPr="000436EF" w:rsidRDefault="004368FE" w:rsidP="00BC2B99">
            <w:pPr>
              <w:pStyle w:val="ListParagraph"/>
              <w:numPr>
                <w:ilvl w:val="0"/>
                <w:numId w:val="38"/>
              </w:numPr>
            </w:pPr>
            <w:r w:rsidRPr="000436EF">
              <w:t>number or identifier of the mechanical processor or sterilizer and results of process efficacy testing</w:t>
            </w:r>
          </w:p>
        </w:tc>
        <w:tc>
          <w:tcPr>
            <w:tcW w:w="618" w:type="dxa"/>
          </w:tcPr>
          <w:p w14:paraId="1A159937" w14:textId="77777777" w:rsidR="00BC2B99" w:rsidRPr="000436EF" w:rsidRDefault="00BC2B99" w:rsidP="005436CB"/>
        </w:tc>
        <w:tc>
          <w:tcPr>
            <w:tcW w:w="540" w:type="dxa"/>
          </w:tcPr>
          <w:p w14:paraId="49A38E2C" w14:textId="77777777" w:rsidR="00BC2B99" w:rsidRPr="000436EF" w:rsidRDefault="00BC2B99" w:rsidP="005436CB"/>
        </w:tc>
        <w:tc>
          <w:tcPr>
            <w:tcW w:w="3415" w:type="dxa"/>
          </w:tcPr>
          <w:p w14:paraId="22921ADB" w14:textId="77777777" w:rsidR="00BC2B99" w:rsidRPr="000436EF" w:rsidRDefault="00BC2B99" w:rsidP="005436CB"/>
        </w:tc>
      </w:tr>
      <w:tr w:rsidR="00A36D9A" w:rsidRPr="00944AF8" w14:paraId="0732F8D0" w14:textId="77777777" w:rsidTr="000436EF">
        <w:tc>
          <w:tcPr>
            <w:tcW w:w="6217" w:type="dxa"/>
          </w:tcPr>
          <w:p w14:paraId="05A6E316" w14:textId="0E0D7A9B" w:rsidR="00BC2B99" w:rsidRPr="000436EF" w:rsidRDefault="004368FE" w:rsidP="004368FE">
            <w:pPr>
              <w:pStyle w:val="ListParagraph"/>
              <w:numPr>
                <w:ilvl w:val="0"/>
                <w:numId w:val="38"/>
              </w:numPr>
            </w:pPr>
            <w:r w:rsidRPr="000436EF">
              <w:t>identity of the persons performing the processing</w:t>
            </w:r>
          </w:p>
        </w:tc>
        <w:tc>
          <w:tcPr>
            <w:tcW w:w="618" w:type="dxa"/>
          </w:tcPr>
          <w:p w14:paraId="6E62812E" w14:textId="77777777" w:rsidR="00BC2B99" w:rsidRPr="000436EF" w:rsidRDefault="00BC2B99" w:rsidP="005436CB"/>
        </w:tc>
        <w:tc>
          <w:tcPr>
            <w:tcW w:w="540" w:type="dxa"/>
          </w:tcPr>
          <w:p w14:paraId="5402B8C5" w14:textId="77777777" w:rsidR="00BC2B99" w:rsidRPr="000436EF" w:rsidRDefault="00BC2B99" w:rsidP="005436CB"/>
        </w:tc>
        <w:tc>
          <w:tcPr>
            <w:tcW w:w="3415" w:type="dxa"/>
          </w:tcPr>
          <w:p w14:paraId="07774F89" w14:textId="77777777" w:rsidR="00BC2B99" w:rsidRPr="000436EF" w:rsidRDefault="00BC2B99" w:rsidP="005436CB"/>
        </w:tc>
      </w:tr>
      <w:tr w:rsidR="00A36D9A" w:rsidRPr="00944AF8" w14:paraId="25C300AD" w14:textId="77777777" w:rsidTr="000436EF">
        <w:tc>
          <w:tcPr>
            <w:tcW w:w="6217" w:type="dxa"/>
          </w:tcPr>
          <w:p w14:paraId="3C9DA323" w14:textId="4F6BF11F" w:rsidR="00BC2B99" w:rsidRPr="000436EF" w:rsidRDefault="004368FE" w:rsidP="004368FE">
            <w:pPr>
              <w:pStyle w:val="ListParagraph"/>
              <w:numPr>
                <w:ilvl w:val="0"/>
                <w:numId w:val="38"/>
              </w:numPr>
            </w:pPr>
            <w:r w:rsidRPr="000436EF">
              <w:t>lot numbers of the processing solutions</w:t>
            </w:r>
          </w:p>
        </w:tc>
        <w:tc>
          <w:tcPr>
            <w:tcW w:w="618" w:type="dxa"/>
          </w:tcPr>
          <w:p w14:paraId="06885241" w14:textId="77777777" w:rsidR="00BC2B99" w:rsidRPr="000436EF" w:rsidRDefault="00BC2B99" w:rsidP="005436CB"/>
        </w:tc>
        <w:tc>
          <w:tcPr>
            <w:tcW w:w="540" w:type="dxa"/>
          </w:tcPr>
          <w:p w14:paraId="36C8479A" w14:textId="77777777" w:rsidR="00BC2B99" w:rsidRPr="000436EF" w:rsidRDefault="00BC2B99" w:rsidP="005436CB"/>
        </w:tc>
        <w:tc>
          <w:tcPr>
            <w:tcW w:w="3415" w:type="dxa"/>
          </w:tcPr>
          <w:p w14:paraId="3C6FBD6E" w14:textId="77777777" w:rsidR="00BC2B99" w:rsidRPr="000436EF" w:rsidRDefault="00BC2B99" w:rsidP="005436CB"/>
        </w:tc>
      </w:tr>
      <w:tr w:rsidR="00A36D9A" w:rsidRPr="00944AF8" w14:paraId="17A46EA9" w14:textId="77777777" w:rsidTr="000436EF">
        <w:tc>
          <w:tcPr>
            <w:tcW w:w="6217" w:type="dxa"/>
          </w:tcPr>
          <w:p w14:paraId="5452ED73" w14:textId="573C0678" w:rsidR="00BC2B99" w:rsidRPr="000436EF" w:rsidRDefault="004368FE" w:rsidP="004368FE">
            <w:pPr>
              <w:pStyle w:val="ListParagraph"/>
              <w:numPr>
                <w:ilvl w:val="0"/>
                <w:numId w:val="38"/>
              </w:numPr>
            </w:pPr>
            <w:r w:rsidRPr="000436EF">
              <w:t>disposition of defective items or equipment</w:t>
            </w:r>
          </w:p>
        </w:tc>
        <w:tc>
          <w:tcPr>
            <w:tcW w:w="618" w:type="dxa"/>
          </w:tcPr>
          <w:p w14:paraId="0C6C3E21" w14:textId="77777777" w:rsidR="00BC2B99" w:rsidRPr="000436EF" w:rsidRDefault="00BC2B99" w:rsidP="005436CB"/>
        </w:tc>
        <w:tc>
          <w:tcPr>
            <w:tcW w:w="540" w:type="dxa"/>
          </w:tcPr>
          <w:p w14:paraId="2F983A4D" w14:textId="77777777" w:rsidR="00BC2B99" w:rsidRPr="000436EF" w:rsidRDefault="00BC2B99" w:rsidP="005436CB"/>
        </w:tc>
        <w:tc>
          <w:tcPr>
            <w:tcW w:w="3415" w:type="dxa"/>
          </w:tcPr>
          <w:p w14:paraId="7E016C4B" w14:textId="77777777" w:rsidR="00BC2B99" w:rsidRPr="000436EF" w:rsidRDefault="00BC2B99" w:rsidP="005436CB"/>
        </w:tc>
      </w:tr>
      <w:tr w:rsidR="00A36D9A" w:rsidRPr="00944AF8" w14:paraId="3774CB2B" w14:textId="77777777" w:rsidTr="000436EF">
        <w:tc>
          <w:tcPr>
            <w:tcW w:w="6217" w:type="dxa"/>
          </w:tcPr>
          <w:p w14:paraId="16160D50" w14:textId="42FD7996" w:rsidR="00BC2B99" w:rsidRPr="000436EF" w:rsidRDefault="004368FE" w:rsidP="004368FE">
            <w:pPr>
              <w:pStyle w:val="ListParagraph"/>
              <w:numPr>
                <w:ilvl w:val="0"/>
                <w:numId w:val="38"/>
              </w:numPr>
            </w:pPr>
            <w:r w:rsidRPr="000436EF">
              <w:t>maintenance of water systems, endoscopes and endoscope accessories, and processing equipment</w:t>
            </w:r>
          </w:p>
        </w:tc>
        <w:tc>
          <w:tcPr>
            <w:tcW w:w="618" w:type="dxa"/>
          </w:tcPr>
          <w:p w14:paraId="67098123" w14:textId="77777777" w:rsidR="00BC2B99" w:rsidRPr="000436EF" w:rsidRDefault="00BC2B99" w:rsidP="005436CB"/>
        </w:tc>
        <w:tc>
          <w:tcPr>
            <w:tcW w:w="540" w:type="dxa"/>
          </w:tcPr>
          <w:p w14:paraId="72AC1C10" w14:textId="77777777" w:rsidR="00BC2B99" w:rsidRPr="000436EF" w:rsidRDefault="00BC2B99" w:rsidP="005436CB"/>
        </w:tc>
        <w:tc>
          <w:tcPr>
            <w:tcW w:w="3415" w:type="dxa"/>
          </w:tcPr>
          <w:p w14:paraId="4FBD97C9" w14:textId="77777777" w:rsidR="00BC2B99" w:rsidRPr="000436EF" w:rsidRDefault="00BC2B99" w:rsidP="005436CB"/>
        </w:tc>
      </w:tr>
      <w:tr w:rsidR="00A36D9A" w:rsidRPr="00944AF8" w14:paraId="6268605B" w14:textId="77777777" w:rsidTr="000436EF">
        <w:tc>
          <w:tcPr>
            <w:tcW w:w="6217" w:type="dxa"/>
          </w:tcPr>
          <w:p w14:paraId="6E6AE59D" w14:textId="77777777" w:rsidR="00BC2B99" w:rsidRPr="000436EF" w:rsidRDefault="004368FE" w:rsidP="00F724C7">
            <w:pPr>
              <w:pStyle w:val="Heading3"/>
              <w:outlineLvl w:val="2"/>
            </w:pPr>
            <w:r w:rsidRPr="000436EF">
              <w:t>Procedural records include</w:t>
            </w:r>
          </w:p>
          <w:p w14:paraId="0D4B5688" w14:textId="4DA52119" w:rsidR="004368FE" w:rsidRPr="000436EF" w:rsidRDefault="004368FE" w:rsidP="004368FE">
            <w:pPr>
              <w:pStyle w:val="ListParagraph"/>
              <w:numPr>
                <w:ilvl w:val="0"/>
                <w:numId w:val="39"/>
              </w:numPr>
            </w:pPr>
            <w:r w:rsidRPr="000436EF">
              <w:t>date and time</w:t>
            </w:r>
          </w:p>
        </w:tc>
        <w:tc>
          <w:tcPr>
            <w:tcW w:w="618" w:type="dxa"/>
          </w:tcPr>
          <w:p w14:paraId="1E4366F7" w14:textId="77777777" w:rsidR="00BC2B99" w:rsidRPr="000436EF" w:rsidRDefault="00BC2B99" w:rsidP="005436CB"/>
        </w:tc>
        <w:tc>
          <w:tcPr>
            <w:tcW w:w="540" w:type="dxa"/>
          </w:tcPr>
          <w:p w14:paraId="1AD1D71E" w14:textId="77777777" w:rsidR="00BC2B99" w:rsidRPr="000436EF" w:rsidRDefault="00BC2B99" w:rsidP="005436CB"/>
        </w:tc>
        <w:tc>
          <w:tcPr>
            <w:tcW w:w="3415" w:type="dxa"/>
          </w:tcPr>
          <w:p w14:paraId="7F365503" w14:textId="77777777" w:rsidR="00BC2B99" w:rsidRPr="000436EF" w:rsidRDefault="00BC2B99" w:rsidP="005436CB"/>
        </w:tc>
      </w:tr>
      <w:tr w:rsidR="00A36D9A" w:rsidRPr="00944AF8" w14:paraId="215D71C5" w14:textId="77777777" w:rsidTr="000436EF">
        <w:tc>
          <w:tcPr>
            <w:tcW w:w="6217" w:type="dxa"/>
          </w:tcPr>
          <w:p w14:paraId="7423265F" w14:textId="7A477BE2" w:rsidR="00BC2B99" w:rsidRPr="000436EF" w:rsidRDefault="004368FE" w:rsidP="004368FE">
            <w:pPr>
              <w:pStyle w:val="ListParagraph"/>
              <w:numPr>
                <w:ilvl w:val="0"/>
                <w:numId w:val="39"/>
              </w:numPr>
            </w:pPr>
            <w:r w:rsidRPr="000436EF">
              <w:t>identity of the patient</w:t>
            </w:r>
          </w:p>
        </w:tc>
        <w:tc>
          <w:tcPr>
            <w:tcW w:w="618" w:type="dxa"/>
          </w:tcPr>
          <w:p w14:paraId="03840C71" w14:textId="77777777" w:rsidR="00BC2B99" w:rsidRPr="000436EF" w:rsidRDefault="00BC2B99" w:rsidP="005436CB"/>
        </w:tc>
        <w:tc>
          <w:tcPr>
            <w:tcW w:w="540" w:type="dxa"/>
          </w:tcPr>
          <w:p w14:paraId="7BDDFD53" w14:textId="77777777" w:rsidR="00BC2B99" w:rsidRPr="000436EF" w:rsidRDefault="00BC2B99" w:rsidP="005436CB"/>
        </w:tc>
        <w:tc>
          <w:tcPr>
            <w:tcW w:w="3415" w:type="dxa"/>
          </w:tcPr>
          <w:p w14:paraId="0E4C54CA" w14:textId="77777777" w:rsidR="00BC2B99" w:rsidRPr="000436EF" w:rsidRDefault="00BC2B99" w:rsidP="005436CB"/>
        </w:tc>
      </w:tr>
      <w:tr w:rsidR="00A36D9A" w:rsidRPr="00944AF8" w14:paraId="3E48B5BD" w14:textId="77777777" w:rsidTr="000436EF">
        <w:tc>
          <w:tcPr>
            <w:tcW w:w="6217" w:type="dxa"/>
          </w:tcPr>
          <w:p w14:paraId="47036E86" w14:textId="52D02280" w:rsidR="00BC2B99" w:rsidRPr="000436EF" w:rsidRDefault="004368FE" w:rsidP="004368FE">
            <w:pPr>
              <w:pStyle w:val="ListParagraph"/>
              <w:numPr>
                <w:ilvl w:val="0"/>
                <w:numId w:val="39"/>
              </w:numPr>
            </w:pPr>
            <w:r w:rsidRPr="000436EF">
              <w:t>procedure</w:t>
            </w:r>
          </w:p>
        </w:tc>
        <w:tc>
          <w:tcPr>
            <w:tcW w:w="618" w:type="dxa"/>
          </w:tcPr>
          <w:p w14:paraId="69B3E2DE" w14:textId="77777777" w:rsidR="00BC2B99" w:rsidRPr="000436EF" w:rsidRDefault="00BC2B99" w:rsidP="005436CB"/>
        </w:tc>
        <w:tc>
          <w:tcPr>
            <w:tcW w:w="540" w:type="dxa"/>
          </w:tcPr>
          <w:p w14:paraId="351356D6" w14:textId="77777777" w:rsidR="00BC2B99" w:rsidRPr="000436EF" w:rsidRDefault="00BC2B99" w:rsidP="005436CB"/>
        </w:tc>
        <w:tc>
          <w:tcPr>
            <w:tcW w:w="3415" w:type="dxa"/>
          </w:tcPr>
          <w:p w14:paraId="41F710B5" w14:textId="77777777" w:rsidR="00BC2B99" w:rsidRPr="000436EF" w:rsidRDefault="00BC2B99" w:rsidP="005436CB"/>
        </w:tc>
      </w:tr>
      <w:tr w:rsidR="00A36D9A" w:rsidRPr="00944AF8" w14:paraId="645C59E9" w14:textId="77777777" w:rsidTr="000436EF">
        <w:tc>
          <w:tcPr>
            <w:tcW w:w="6217" w:type="dxa"/>
          </w:tcPr>
          <w:p w14:paraId="263EF485" w14:textId="11D0C0C7" w:rsidR="00BC2B99" w:rsidRPr="000436EF" w:rsidRDefault="004368FE" w:rsidP="004368FE">
            <w:pPr>
              <w:pStyle w:val="ListParagraph"/>
              <w:numPr>
                <w:ilvl w:val="0"/>
                <w:numId w:val="39"/>
              </w:numPr>
            </w:pPr>
            <w:r w:rsidRPr="000436EF">
              <w:t>identity of the licensed independent practitioner performing the procedure</w:t>
            </w:r>
          </w:p>
        </w:tc>
        <w:tc>
          <w:tcPr>
            <w:tcW w:w="618" w:type="dxa"/>
          </w:tcPr>
          <w:p w14:paraId="58374F28" w14:textId="77777777" w:rsidR="00BC2B99" w:rsidRPr="000436EF" w:rsidRDefault="00BC2B99" w:rsidP="005436CB"/>
        </w:tc>
        <w:tc>
          <w:tcPr>
            <w:tcW w:w="540" w:type="dxa"/>
          </w:tcPr>
          <w:p w14:paraId="5CE49E40" w14:textId="77777777" w:rsidR="00BC2B99" w:rsidRPr="000436EF" w:rsidRDefault="00BC2B99" w:rsidP="005436CB"/>
        </w:tc>
        <w:tc>
          <w:tcPr>
            <w:tcW w:w="3415" w:type="dxa"/>
          </w:tcPr>
          <w:p w14:paraId="4997EC98" w14:textId="77777777" w:rsidR="00BC2B99" w:rsidRPr="000436EF" w:rsidRDefault="00BC2B99" w:rsidP="005436CB"/>
        </w:tc>
      </w:tr>
      <w:tr w:rsidR="00A36D9A" w:rsidRPr="00944AF8" w14:paraId="571AA6D8" w14:textId="77777777" w:rsidTr="000436EF">
        <w:tc>
          <w:tcPr>
            <w:tcW w:w="6217" w:type="dxa"/>
          </w:tcPr>
          <w:p w14:paraId="49A5E590" w14:textId="1C71072D" w:rsidR="00BC2B99" w:rsidRPr="000436EF" w:rsidRDefault="004368FE" w:rsidP="00906C9B">
            <w:pPr>
              <w:pStyle w:val="ListParagraph"/>
              <w:numPr>
                <w:ilvl w:val="0"/>
                <w:numId w:val="39"/>
              </w:numPr>
            </w:pPr>
            <w:r w:rsidRPr="000436EF">
              <w:t>identity of the endoscope and endoscope accessories used</w:t>
            </w:r>
          </w:p>
        </w:tc>
        <w:tc>
          <w:tcPr>
            <w:tcW w:w="618" w:type="dxa"/>
          </w:tcPr>
          <w:p w14:paraId="7C649C00" w14:textId="77777777" w:rsidR="00BC2B99" w:rsidRPr="000436EF" w:rsidRDefault="00BC2B99" w:rsidP="005436CB"/>
        </w:tc>
        <w:tc>
          <w:tcPr>
            <w:tcW w:w="540" w:type="dxa"/>
          </w:tcPr>
          <w:p w14:paraId="3AC1B246" w14:textId="77777777" w:rsidR="00BC2B99" w:rsidRPr="000436EF" w:rsidRDefault="00BC2B99" w:rsidP="005436CB"/>
        </w:tc>
        <w:tc>
          <w:tcPr>
            <w:tcW w:w="3415" w:type="dxa"/>
          </w:tcPr>
          <w:p w14:paraId="33E0EE17" w14:textId="77777777" w:rsidR="00BC2B99" w:rsidRPr="000436EF" w:rsidRDefault="00BC2B99" w:rsidP="005436CB"/>
        </w:tc>
      </w:tr>
    </w:tbl>
    <w:p w14:paraId="000EC706" w14:textId="77777777" w:rsidR="001E243D" w:rsidRDefault="001E243D"/>
    <w:p w14:paraId="51F5EE2C" w14:textId="77777777" w:rsidR="001E243D" w:rsidRDefault="001E243D"/>
    <w:p w14:paraId="5126E895" w14:textId="77777777" w:rsidR="00062700" w:rsidRPr="00A726F6" w:rsidRDefault="00062700" w:rsidP="00062700">
      <w:r w:rsidRPr="005B1EED">
        <w:rPr>
          <w:rFonts w:ascii="Calibri" w:hAnsi="Calibri"/>
        </w:rPr>
        <w:t>Availa</w:t>
      </w:r>
      <w:r w:rsidRPr="00A726F6">
        <w:t xml:space="preserve">ble from: </w:t>
      </w:r>
      <w:hyperlink r:id="rId11" w:history="1">
        <w:r w:rsidRPr="00A726F6">
          <w:rPr>
            <w:rStyle w:val="Hyperlink"/>
          </w:rPr>
          <w:t>https://www.cdc.gov/hicpac/recommendations/flexible-endoscope-reprocessing.html</w:t>
        </w:r>
      </w:hyperlink>
      <w:r w:rsidRPr="00A726F6">
        <w:t xml:space="preserve">  </w:t>
      </w:r>
    </w:p>
    <w:p w14:paraId="62BEE247" w14:textId="003A2194" w:rsidR="001E243D" w:rsidRDefault="001E243D" w:rsidP="00062700"/>
    <w:sectPr w:rsidR="001E243D" w:rsidSect="000436E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FCC21" w14:textId="77777777" w:rsidR="00F85588" w:rsidRDefault="00F85588" w:rsidP="00A6554C">
      <w:pPr>
        <w:spacing w:after="0" w:line="240" w:lineRule="auto"/>
      </w:pPr>
      <w:r>
        <w:separator/>
      </w:r>
    </w:p>
  </w:endnote>
  <w:endnote w:type="continuationSeparator" w:id="0">
    <w:p w14:paraId="6BDBA3C5" w14:textId="77777777" w:rsidR="00F85588" w:rsidRDefault="00F85588" w:rsidP="00A6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0248" w14:textId="6C2D744D" w:rsidR="00A61192" w:rsidRPr="000436EF" w:rsidRDefault="006F2046" w:rsidP="000436EF">
    <w:pPr>
      <w:pStyle w:val="Footer"/>
      <w:pBdr>
        <w:top w:val="single" w:sz="4" w:space="1" w:color="auto"/>
      </w:pBdr>
      <w:tabs>
        <w:tab w:val="clear" w:pos="9360"/>
        <w:tab w:val="right" w:pos="10800"/>
      </w:tabs>
      <w:spacing w:before="60"/>
      <w:rPr>
        <w:sz w:val="20"/>
        <w:szCs w:val="20"/>
      </w:rPr>
    </w:pPr>
    <w:r w:rsidRPr="000436EF">
      <w:rPr>
        <w:sz w:val="20"/>
        <w:szCs w:val="20"/>
      </w:rPr>
      <w:t>Adapted with permission from Guideline Essentials. Copyright © 2016, AORN, Inc, 2170 S. Parker Road, Suite 400, Denver, CO 80231.</w:t>
    </w:r>
    <w:r w:rsidR="00D460FE" w:rsidRPr="000436EF">
      <w:rPr>
        <w:sz w:val="20"/>
        <w:szCs w:val="20"/>
      </w:rPr>
      <w:br/>
    </w:r>
    <w:r w:rsidRPr="000436EF">
      <w:rPr>
        <w:sz w:val="20"/>
        <w:szCs w:val="20"/>
      </w:rPr>
      <w:t xml:space="preserve">All rights reserved. </w:t>
    </w:r>
    <w:sdt>
      <w:sdtPr>
        <w:rPr>
          <w:sz w:val="20"/>
          <w:szCs w:val="20"/>
        </w:rPr>
        <w:id w:val="1439330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61192" w:rsidRPr="000436EF">
              <w:rPr>
                <w:sz w:val="20"/>
                <w:szCs w:val="20"/>
              </w:rPr>
              <w:tab/>
            </w:r>
            <w:r w:rsidR="00A61192" w:rsidRPr="000436EF">
              <w:rPr>
                <w:sz w:val="20"/>
                <w:szCs w:val="20"/>
              </w:rPr>
              <w:tab/>
              <w:t xml:space="preserve">Page </w:t>
            </w:r>
            <w:r w:rsidR="00A61192" w:rsidRPr="000436EF">
              <w:rPr>
                <w:bCs/>
                <w:sz w:val="20"/>
                <w:szCs w:val="20"/>
              </w:rPr>
              <w:fldChar w:fldCharType="begin"/>
            </w:r>
            <w:r w:rsidR="00A61192" w:rsidRPr="000436EF">
              <w:rPr>
                <w:bCs/>
                <w:sz w:val="20"/>
                <w:szCs w:val="20"/>
              </w:rPr>
              <w:instrText xml:space="preserve"> PAGE </w:instrText>
            </w:r>
            <w:r w:rsidR="00A61192" w:rsidRPr="000436EF">
              <w:rPr>
                <w:bCs/>
                <w:sz w:val="20"/>
                <w:szCs w:val="20"/>
              </w:rPr>
              <w:fldChar w:fldCharType="separate"/>
            </w:r>
            <w:r w:rsidR="00EE441B">
              <w:rPr>
                <w:bCs/>
                <w:noProof/>
                <w:sz w:val="20"/>
                <w:szCs w:val="20"/>
              </w:rPr>
              <w:t>1</w:t>
            </w:r>
            <w:r w:rsidR="00A61192" w:rsidRPr="000436EF">
              <w:rPr>
                <w:bCs/>
                <w:sz w:val="20"/>
                <w:szCs w:val="20"/>
              </w:rPr>
              <w:fldChar w:fldCharType="end"/>
            </w:r>
            <w:r w:rsidR="00A61192" w:rsidRPr="000436EF">
              <w:rPr>
                <w:sz w:val="20"/>
                <w:szCs w:val="20"/>
              </w:rPr>
              <w:t xml:space="preserve"> of </w:t>
            </w:r>
            <w:r w:rsidR="00A61192" w:rsidRPr="000436EF">
              <w:rPr>
                <w:bCs/>
                <w:sz w:val="20"/>
                <w:szCs w:val="20"/>
              </w:rPr>
              <w:fldChar w:fldCharType="begin"/>
            </w:r>
            <w:r w:rsidR="00A61192" w:rsidRPr="000436EF">
              <w:rPr>
                <w:bCs/>
                <w:sz w:val="20"/>
                <w:szCs w:val="20"/>
              </w:rPr>
              <w:instrText xml:space="preserve"> NUMPAGES  </w:instrText>
            </w:r>
            <w:r w:rsidR="00A61192" w:rsidRPr="000436EF">
              <w:rPr>
                <w:bCs/>
                <w:sz w:val="20"/>
                <w:szCs w:val="20"/>
              </w:rPr>
              <w:fldChar w:fldCharType="separate"/>
            </w:r>
            <w:r w:rsidR="00EE441B">
              <w:rPr>
                <w:bCs/>
                <w:noProof/>
                <w:sz w:val="20"/>
                <w:szCs w:val="20"/>
              </w:rPr>
              <w:t>3</w:t>
            </w:r>
            <w:r w:rsidR="00A61192" w:rsidRPr="000436E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70B15" w14:textId="0310DF40" w:rsidR="00D460FE" w:rsidRPr="00DD4375" w:rsidRDefault="00D460FE" w:rsidP="00DD4375">
    <w:pPr>
      <w:pStyle w:val="Footer"/>
      <w:tabs>
        <w:tab w:val="clear" w:pos="9360"/>
        <w:tab w:val="right" w:pos="10800"/>
      </w:tabs>
      <w:spacing w:before="60"/>
      <w:rPr>
        <w:b/>
        <w:sz w:val="18"/>
        <w:szCs w:val="18"/>
      </w:rPr>
    </w:pPr>
    <w:r>
      <w:rPr>
        <w:b/>
        <w:sz w:val="18"/>
        <w:szCs w:val="18"/>
      </w:rPr>
      <w:t xml:space="preserve">Adapted with permission from </w:t>
    </w:r>
    <w:r w:rsidR="00720F57">
      <w:rPr>
        <w:b/>
        <w:sz w:val="18"/>
        <w:szCs w:val="18"/>
      </w:rPr>
      <w:t>“</w:t>
    </w:r>
    <w:r>
      <w:rPr>
        <w:b/>
        <w:sz w:val="18"/>
        <w:szCs w:val="18"/>
      </w:rPr>
      <w:t>Guideline Essentials. AORN, Inc, 2170 S. Parker Road, Suite 400, Denver, CO 80231.</w:t>
    </w:r>
    <w:r>
      <w:rPr>
        <w:b/>
        <w:sz w:val="18"/>
        <w:szCs w:val="18"/>
      </w:rPr>
      <w:br/>
      <w:t>All rights reserved</w:t>
    </w:r>
    <w:sdt>
      <w:sdtPr>
        <w:rPr>
          <w:b/>
          <w:sz w:val="18"/>
          <w:szCs w:val="18"/>
        </w:rPr>
        <w:id w:val="8775068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sz w:val="18"/>
              <w:szCs w:val="18"/>
            </w:rPr>
            <w:id w:val="-505370947"/>
            <w:docPartObj>
              <w:docPartGallery w:val="Page Numbers (Top of Page)"/>
              <w:docPartUnique/>
            </w:docPartObj>
          </w:sdtPr>
          <w:sdtEndPr/>
          <w:sdtContent>
            <w:r w:rsidR="00413572">
              <w:rPr>
                <w:b/>
                <w:sz w:val="18"/>
                <w:szCs w:val="18"/>
              </w:rPr>
              <w:t xml:space="preserve">.” </w:t>
            </w:r>
            <w:r w:rsidRPr="005A04C2">
              <w:rPr>
                <w:b/>
                <w:sz w:val="18"/>
                <w:szCs w:val="18"/>
              </w:rPr>
              <w:tab/>
            </w:r>
            <w:r w:rsidRPr="005A04C2">
              <w:rPr>
                <w:b/>
                <w:sz w:val="18"/>
                <w:szCs w:val="18"/>
              </w:rPr>
              <w:tab/>
              <w:t xml:space="preserve">Page </w:t>
            </w:r>
            <w:r w:rsidRPr="005A04C2">
              <w:rPr>
                <w:b/>
                <w:bCs/>
                <w:sz w:val="18"/>
                <w:szCs w:val="18"/>
              </w:rPr>
              <w:fldChar w:fldCharType="begin"/>
            </w:r>
            <w:r w:rsidRPr="005A04C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04C2">
              <w:rPr>
                <w:b/>
                <w:bCs/>
                <w:sz w:val="18"/>
                <w:szCs w:val="18"/>
              </w:rPr>
              <w:fldChar w:fldCharType="separate"/>
            </w:r>
            <w:r w:rsidR="000436EF">
              <w:rPr>
                <w:b/>
                <w:bCs/>
                <w:noProof/>
                <w:sz w:val="18"/>
                <w:szCs w:val="18"/>
              </w:rPr>
              <w:t>1</w:t>
            </w:r>
            <w:r w:rsidRPr="005A04C2">
              <w:rPr>
                <w:b/>
                <w:bCs/>
                <w:sz w:val="18"/>
                <w:szCs w:val="18"/>
              </w:rPr>
              <w:fldChar w:fldCharType="end"/>
            </w:r>
            <w:r w:rsidRPr="005A04C2">
              <w:rPr>
                <w:b/>
                <w:sz w:val="18"/>
                <w:szCs w:val="18"/>
              </w:rPr>
              <w:t xml:space="preserve"> of </w:t>
            </w:r>
            <w:r w:rsidRPr="005A04C2">
              <w:rPr>
                <w:b/>
                <w:bCs/>
                <w:sz w:val="18"/>
                <w:szCs w:val="18"/>
              </w:rPr>
              <w:fldChar w:fldCharType="begin"/>
            </w:r>
            <w:r w:rsidRPr="005A04C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04C2">
              <w:rPr>
                <w:b/>
                <w:bCs/>
                <w:sz w:val="18"/>
                <w:szCs w:val="18"/>
              </w:rPr>
              <w:fldChar w:fldCharType="separate"/>
            </w:r>
            <w:r w:rsidR="000436EF">
              <w:rPr>
                <w:b/>
                <w:bCs/>
                <w:noProof/>
                <w:sz w:val="18"/>
                <w:szCs w:val="18"/>
              </w:rPr>
              <w:t>3</w:t>
            </w:r>
            <w:r w:rsidRPr="005A04C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7B35D" w14:textId="77777777" w:rsidR="00F85588" w:rsidRDefault="00F85588" w:rsidP="00A6554C">
      <w:pPr>
        <w:spacing w:after="0" w:line="240" w:lineRule="auto"/>
      </w:pPr>
      <w:r>
        <w:separator/>
      </w:r>
    </w:p>
  </w:footnote>
  <w:footnote w:type="continuationSeparator" w:id="0">
    <w:p w14:paraId="674A194C" w14:textId="77777777" w:rsidR="00F85588" w:rsidRDefault="00F85588" w:rsidP="00A6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0665A" w14:textId="2345E217" w:rsidR="00FE7328" w:rsidRPr="000436EF" w:rsidRDefault="00A36D9A" w:rsidP="000436EF">
    <w:pPr>
      <w:pBdr>
        <w:bottom w:val="single" w:sz="4" w:space="1" w:color="auto"/>
      </w:pBdr>
      <w:rPr>
        <w:sz w:val="20"/>
        <w:szCs w:val="20"/>
      </w:rPr>
    </w:pPr>
    <w:r w:rsidRPr="000436EF">
      <w:rPr>
        <w:b/>
        <w:sz w:val="20"/>
        <w:szCs w:val="20"/>
      </w:rPr>
      <w:t>HICPAC Sample Audit Tool: Reprocessing Flexible Endoscopes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9F7D" w14:textId="2BA8D009" w:rsidR="00A61192" w:rsidRPr="000436EF" w:rsidRDefault="00286B1E" w:rsidP="000436EF">
    <w:pPr>
      <w:pBdr>
        <w:bottom w:val="single" w:sz="4" w:space="1" w:color="auto"/>
      </w:pBdr>
      <w:rPr>
        <w:sz w:val="20"/>
        <w:szCs w:val="20"/>
      </w:rPr>
    </w:pPr>
    <w:r w:rsidRPr="000436EF">
      <w:rPr>
        <w:b/>
        <w:sz w:val="20"/>
        <w:szCs w:val="20"/>
      </w:rPr>
      <w:t>HICPAC Sample Audit Tool: Reprocessing Flexible Endoscopes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B57"/>
    <w:multiLevelType w:val="hybridMultilevel"/>
    <w:tmpl w:val="16609EEC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DFB"/>
    <w:multiLevelType w:val="hybridMultilevel"/>
    <w:tmpl w:val="D30E58F8"/>
    <w:lvl w:ilvl="0" w:tplc="26D069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8D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757AB"/>
    <w:multiLevelType w:val="hybridMultilevel"/>
    <w:tmpl w:val="21004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E7626"/>
    <w:multiLevelType w:val="hybridMultilevel"/>
    <w:tmpl w:val="ACCE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6CC"/>
    <w:multiLevelType w:val="hybridMultilevel"/>
    <w:tmpl w:val="85E08AE4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113D"/>
    <w:multiLevelType w:val="hybridMultilevel"/>
    <w:tmpl w:val="98D0EADC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6AA9"/>
    <w:multiLevelType w:val="hybridMultilevel"/>
    <w:tmpl w:val="374CD618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CFC"/>
    <w:multiLevelType w:val="hybridMultilevel"/>
    <w:tmpl w:val="3F70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1749"/>
    <w:multiLevelType w:val="hybridMultilevel"/>
    <w:tmpl w:val="144032E8"/>
    <w:lvl w:ilvl="0" w:tplc="26D06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8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2D6F"/>
    <w:multiLevelType w:val="hybridMultilevel"/>
    <w:tmpl w:val="78A0F29E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230A"/>
    <w:multiLevelType w:val="hybridMultilevel"/>
    <w:tmpl w:val="DAF8058E"/>
    <w:lvl w:ilvl="0" w:tplc="A8CE9C0E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1684954"/>
    <w:multiLevelType w:val="hybridMultilevel"/>
    <w:tmpl w:val="D5DC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C09B3"/>
    <w:multiLevelType w:val="hybridMultilevel"/>
    <w:tmpl w:val="743C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86A"/>
    <w:multiLevelType w:val="hybridMultilevel"/>
    <w:tmpl w:val="16B0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0E28"/>
    <w:multiLevelType w:val="hybridMultilevel"/>
    <w:tmpl w:val="9408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D6F76"/>
    <w:multiLevelType w:val="hybridMultilevel"/>
    <w:tmpl w:val="7EB8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965EB"/>
    <w:multiLevelType w:val="hybridMultilevel"/>
    <w:tmpl w:val="6138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19A4"/>
    <w:multiLevelType w:val="hybridMultilevel"/>
    <w:tmpl w:val="CE42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E07A9"/>
    <w:multiLevelType w:val="hybridMultilevel"/>
    <w:tmpl w:val="2E7A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40904"/>
    <w:multiLevelType w:val="hybridMultilevel"/>
    <w:tmpl w:val="32C0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1F03"/>
    <w:multiLevelType w:val="hybridMultilevel"/>
    <w:tmpl w:val="F7C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D59CB"/>
    <w:multiLevelType w:val="hybridMultilevel"/>
    <w:tmpl w:val="122C99EE"/>
    <w:lvl w:ilvl="0" w:tplc="26D06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8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A7D4B"/>
    <w:multiLevelType w:val="hybridMultilevel"/>
    <w:tmpl w:val="16B8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C3C36"/>
    <w:multiLevelType w:val="hybridMultilevel"/>
    <w:tmpl w:val="3138B680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24A41"/>
    <w:multiLevelType w:val="hybridMultilevel"/>
    <w:tmpl w:val="C2E2F910"/>
    <w:lvl w:ilvl="0" w:tplc="B906C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D7B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45745"/>
    <w:multiLevelType w:val="hybridMultilevel"/>
    <w:tmpl w:val="4F70D78A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D6A3F"/>
    <w:multiLevelType w:val="hybridMultilevel"/>
    <w:tmpl w:val="83DA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5683B"/>
    <w:multiLevelType w:val="hybridMultilevel"/>
    <w:tmpl w:val="E16ECA5E"/>
    <w:lvl w:ilvl="0" w:tplc="26D06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8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076D3"/>
    <w:multiLevelType w:val="hybridMultilevel"/>
    <w:tmpl w:val="B4FA6CBC"/>
    <w:lvl w:ilvl="0" w:tplc="A8CE9C0E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5FD6507F"/>
    <w:multiLevelType w:val="hybridMultilevel"/>
    <w:tmpl w:val="B29EFFCA"/>
    <w:lvl w:ilvl="0" w:tplc="78F61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8D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5BF7"/>
    <w:multiLevelType w:val="hybridMultilevel"/>
    <w:tmpl w:val="DAF8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728E9"/>
    <w:multiLevelType w:val="hybridMultilevel"/>
    <w:tmpl w:val="58448800"/>
    <w:lvl w:ilvl="0" w:tplc="26D06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8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078E8"/>
    <w:multiLevelType w:val="hybridMultilevel"/>
    <w:tmpl w:val="58144F74"/>
    <w:lvl w:ilvl="0" w:tplc="B906C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41676"/>
    <w:multiLevelType w:val="hybridMultilevel"/>
    <w:tmpl w:val="C550074A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D1924"/>
    <w:multiLevelType w:val="hybridMultilevel"/>
    <w:tmpl w:val="3F96E9AE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02408"/>
    <w:multiLevelType w:val="hybridMultilevel"/>
    <w:tmpl w:val="0A5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5701B"/>
    <w:multiLevelType w:val="hybridMultilevel"/>
    <w:tmpl w:val="01D6D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6036BD"/>
    <w:multiLevelType w:val="hybridMultilevel"/>
    <w:tmpl w:val="69A0A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617129"/>
    <w:multiLevelType w:val="hybridMultilevel"/>
    <w:tmpl w:val="CE46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C05FB"/>
    <w:multiLevelType w:val="hybridMultilevel"/>
    <w:tmpl w:val="19DA3584"/>
    <w:lvl w:ilvl="0" w:tplc="A8CE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8"/>
  </w:num>
  <w:num w:numId="4">
    <w:abstractNumId w:val="15"/>
  </w:num>
  <w:num w:numId="5">
    <w:abstractNumId w:val="4"/>
  </w:num>
  <w:num w:numId="6">
    <w:abstractNumId w:val="34"/>
  </w:num>
  <w:num w:numId="7">
    <w:abstractNumId w:val="39"/>
  </w:num>
  <w:num w:numId="8">
    <w:abstractNumId w:val="25"/>
  </w:num>
  <w:num w:numId="9">
    <w:abstractNumId w:val="5"/>
  </w:num>
  <w:num w:numId="10">
    <w:abstractNumId w:val="28"/>
  </w:num>
  <w:num w:numId="11">
    <w:abstractNumId w:val="33"/>
  </w:num>
  <w:num w:numId="12">
    <w:abstractNumId w:val="6"/>
  </w:num>
  <w:num w:numId="13">
    <w:abstractNumId w:val="10"/>
  </w:num>
  <w:num w:numId="14">
    <w:abstractNumId w:val="23"/>
  </w:num>
  <w:num w:numId="15">
    <w:abstractNumId w:val="0"/>
  </w:num>
  <w:num w:numId="16">
    <w:abstractNumId w:val="9"/>
  </w:num>
  <w:num w:numId="17">
    <w:abstractNumId w:val="3"/>
  </w:num>
  <w:num w:numId="18">
    <w:abstractNumId w:val="14"/>
  </w:num>
  <w:num w:numId="19">
    <w:abstractNumId w:val="16"/>
  </w:num>
  <w:num w:numId="20">
    <w:abstractNumId w:val="22"/>
  </w:num>
  <w:num w:numId="21">
    <w:abstractNumId w:val="11"/>
  </w:num>
  <w:num w:numId="22">
    <w:abstractNumId w:val="17"/>
  </w:num>
  <w:num w:numId="23">
    <w:abstractNumId w:val="7"/>
  </w:num>
  <w:num w:numId="24">
    <w:abstractNumId w:val="30"/>
  </w:num>
  <w:num w:numId="25">
    <w:abstractNumId w:val="19"/>
  </w:num>
  <w:num w:numId="26">
    <w:abstractNumId w:val="35"/>
  </w:num>
  <w:num w:numId="27">
    <w:abstractNumId w:val="18"/>
  </w:num>
  <w:num w:numId="28">
    <w:abstractNumId w:val="20"/>
  </w:num>
  <w:num w:numId="29">
    <w:abstractNumId w:val="26"/>
  </w:num>
  <w:num w:numId="30">
    <w:abstractNumId w:val="27"/>
  </w:num>
  <w:num w:numId="31">
    <w:abstractNumId w:val="32"/>
  </w:num>
  <w:num w:numId="32">
    <w:abstractNumId w:val="21"/>
  </w:num>
  <w:num w:numId="33">
    <w:abstractNumId w:val="8"/>
  </w:num>
  <w:num w:numId="34">
    <w:abstractNumId w:val="1"/>
  </w:num>
  <w:num w:numId="35">
    <w:abstractNumId w:val="24"/>
  </w:num>
  <w:num w:numId="36">
    <w:abstractNumId w:val="31"/>
  </w:num>
  <w:num w:numId="37">
    <w:abstractNumId w:val="29"/>
  </w:num>
  <w:num w:numId="38">
    <w:abstractNumId w:val="37"/>
  </w:num>
  <w:num w:numId="39">
    <w:abstractNumId w:val="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4C"/>
    <w:rsid w:val="000036BE"/>
    <w:rsid w:val="00017E7B"/>
    <w:rsid w:val="00030036"/>
    <w:rsid w:val="000436EF"/>
    <w:rsid w:val="000518BB"/>
    <w:rsid w:val="00054E5F"/>
    <w:rsid w:val="00062700"/>
    <w:rsid w:val="0006448D"/>
    <w:rsid w:val="00073832"/>
    <w:rsid w:val="0007699A"/>
    <w:rsid w:val="00080C83"/>
    <w:rsid w:val="000828EB"/>
    <w:rsid w:val="00090857"/>
    <w:rsid w:val="0009239F"/>
    <w:rsid w:val="000A1CB3"/>
    <w:rsid w:val="000B5167"/>
    <w:rsid w:val="000C2694"/>
    <w:rsid w:val="000D74EB"/>
    <w:rsid w:val="000F34BB"/>
    <w:rsid w:val="00100BE5"/>
    <w:rsid w:val="00123D23"/>
    <w:rsid w:val="00127B7B"/>
    <w:rsid w:val="00132B6B"/>
    <w:rsid w:val="0013694E"/>
    <w:rsid w:val="0014195D"/>
    <w:rsid w:val="00146C87"/>
    <w:rsid w:val="001476F5"/>
    <w:rsid w:val="00151579"/>
    <w:rsid w:val="0016501F"/>
    <w:rsid w:val="00183B67"/>
    <w:rsid w:val="00194B34"/>
    <w:rsid w:val="00197E52"/>
    <w:rsid w:val="001A6549"/>
    <w:rsid w:val="001A7493"/>
    <w:rsid w:val="001B6B79"/>
    <w:rsid w:val="001C5C1E"/>
    <w:rsid w:val="001E243D"/>
    <w:rsid w:val="001F1AC2"/>
    <w:rsid w:val="002042DF"/>
    <w:rsid w:val="00213700"/>
    <w:rsid w:val="0022715C"/>
    <w:rsid w:val="002300C3"/>
    <w:rsid w:val="00235D74"/>
    <w:rsid w:val="00260F98"/>
    <w:rsid w:val="00280A2E"/>
    <w:rsid w:val="00280AA1"/>
    <w:rsid w:val="00286B1E"/>
    <w:rsid w:val="002C606D"/>
    <w:rsid w:val="002D3850"/>
    <w:rsid w:val="00337EAC"/>
    <w:rsid w:val="00361FB4"/>
    <w:rsid w:val="003635BB"/>
    <w:rsid w:val="003711F3"/>
    <w:rsid w:val="003721D3"/>
    <w:rsid w:val="00383A09"/>
    <w:rsid w:val="003B5884"/>
    <w:rsid w:val="003C1D59"/>
    <w:rsid w:val="003D52FC"/>
    <w:rsid w:val="00413572"/>
    <w:rsid w:val="004270C8"/>
    <w:rsid w:val="004328E9"/>
    <w:rsid w:val="004368FE"/>
    <w:rsid w:val="004471D9"/>
    <w:rsid w:val="00477C40"/>
    <w:rsid w:val="004B0396"/>
    <w:rsid w:val="004C2CED"/>
    <w:rsid w:val="004F33A9"/>
    <w:rsid w:val="00504163"/>
    <w:rsid w:val="005061B1"/>
    <w:rsid w:val="00527CEE"/>
    <w:rsid w:val="0053059A"/>
    <w:rsid w:val="00537AA4"/>
    <w:rsid w:val="005436CB"/>
    <w:rsid w:val="005728C1"/>
    <w:rsid w:val="0058090E"/>
    <w:rsid w:val="0059693E"/>
    <w:rsid w:val="00597773"/>
    <w:rsid w:val="005A04C2"/>
    <w:rsid w:val="0060190C"/>
    <w:rsid w:val="006078ED"/>
    <w:rsid w:val="00616E50"/>
    <w:rsid w:val="006219F5"/>
    <w:rsid w:val="006360D0"/>
    <w:rsid w:val="00642920"/>
    <w:rsid w:val="00643CAD"/>
    <w:rsid w:val="006717B0"/>
    <w:rsid w:val="006869AE"/>
    <w:rsid w:val="006A3C62"/>
    <w:rsid w:val="006B5212"/>
    <w:rsid w:val="006C4187"/>
    <w:rsid w:val="006D7D03"/>
    <w:rsid w:val="006E421D"/>
    <w:rsid w:val="006F2046"/>
    <w:rsid w:val="006F4F3A"/>
    <w:rsid w:val="006F5EFB"/>
    <w:rsid w:val="007015DD"/>
    <w:rsid w:val="00717D15"/>
    <w:rsid w:val="00720F57"/>
    <w:rsid w:val="00735F2D"/>
    <w:rsid w:val="0074093B"/>
    <w:rsid w:val="007528A6"/>
    <w:rsid w:val="0078146E"/>
    <w:rsid w:val="00791137"/>
    <w:rsid w:val="007B05C6"/>
    <w:rsid w:val="007B38DA"/>
    <w:rsid w:val="007D07FC"/>
    <w:rsid w:val="007F61E6"/>
    <w:rsid w:val="007F7385"/>
    <w:rsid w:val="00811EAD"/>
    <w:rsid w:val="00821AA3"/>
    <w:rsid w:val="00830084"/>
    <w:rsid w:val="00833E2E"/>
    <w:rsid w:val="00841461"/>
    <w:rsid w:val="008B0FBD"/>
    <w:rsid w:val="008B4156"/>
    <w:rsid w:val="008C71F7"/>
    <w:rsid w:val="008D1F9B"/>
    <w:rsid w:val="008D4085"/>
    <w:rsid w:val="008F3AFB"/>
    <w:rsid w:val="00906C9B"/>
    <w:rsid w:val="00906DB4"/>
    <w:rsid w:val="00930688"/>
    <w:rsid w:val="00931133"/>
    <w:rsid w:val="00944AF8"/>
    <w:rsid w:val="009515C2"/>
    <w:rsid w:val="00967D94"/>
    <w:rsid w:val="00972397"/>
    <w:rsid w:val="00982B97"/>
    <w:rsid w:val="00986FD8"/>
    <w:rsid w:val="009926AE"/>
    <w:rsid w:val="009C27F9"/>
    <w:rsid w:val="009F531C"/>
    <w:rsid w:val="00A04AB2"/>
    <w:rsid w:val="00A05767"/>
    <w:rsid w:val="00A36D9A"/>
    <w:rsid w:val="00A61192"/>
    <w:rsid w:val="00A6554C"/>
    <w:rsid w:val="00A73CFA"/>
    <w:rsid w:val="00AA0535"/>
    <w:rsid w:val="00AA4E1B"/>
    <w:rsid w:val="00AB0E78"/>
    <w:rsid w:val="00AC539C"/>
    <w:rsid w:val="00AD2A74"/>
    <w:rsid w:val="00AD605E"/>
    <w:rsid w:val="00AE1699"/>
    <w:rsid w:val="00AF7272"/>
    <w:rsid w:val="00B07DA0"/>
    <w:rsid w:val="00B25D41"/>
    <w:rsid w:val="00B26328"/>
    <w:rsid w:val="00B45B07"/>
    <w:rsid w:val="00B54A80"/>
    <w:rsid w:val="00B62298"/>
    <w:rsid w:val="00B67604"/>
    <w:rsid w:val="00BC2B99"/>
    <w:rsid w:val="00BD1633"/>
    <w:rsid w:val="00BD44C5"/>
    <w:rsid w:val="00BD53BD"/>
    <w:rsid w:val="00C025B1"/>
    <w:rsid w:val="00C15E3B"/>
    <w:rsid w:val="00C24DC7"/>
    <w:rsid w:val="00C476AF"/>
    <w:rsid w:val="00C51DA8"/>
    <w:rsid w:val="00C63E28"/>
    <w:rsid w:val="00C86A81"/>
    <w:rsid w:val="00CC03E5"/>
    <w:rsid w:val="00CD67CF"/>
    <w:rsid w:val="00CE0CBD"/>
    <w:rsid w:val="00CE2E5C"/>
    <w:rsid w:val="00CF31F1"/>
    <w:rsid w:val="00D06456"/>
    <w:rsid w:val="00D163C8"/>
    <w:rsid w:val="00D16B9C"/>
    <w:rsid w:val="00D221E7"/>
    <w:rsid w:val="00D460FE"/>
    <w:rsid w:val="00D65D8E"/>
    <w:rsid w:val="00D71101"/>
    <w:rsid w:val="00D82727"/>
    <w:rsid w:val="00D85042"/>
    <w:rsid w:val="00D860CD"/>
    <w:rsid w:val="00D9664D"/>
    <w:rsid w:val="00DA358C"/>
    <w:rsid w:val="00DA3B85"/>
    <w:rsid w:val="00DB20F5"/>
    <w:rsid w:val="00DB691C"/>
    <w:rsid w:val="00DD4375"/>
    <w:rsid w:val="00DD6782"/>
    <w:rsid w:val="00E02563"/>
    <w:rsid w:val="00E16583"/>
    <w:rsid w:val="00E26741"/>
    <w:rsid w:val="00E61405"/>
    <w:rsid w:val="00E65DB8"/>
    <w:rsid w:val="00E6694B"/>
    <w:rsid w:val="00E71833"/>
    <w:rsid w:val="00E73264"/>
    <w:rsid w:val="00E975BB"/>
    <w:rsid w:val="00E979B7"/>
    <w:rsid w:val="00EB74DA"/>
    <w:rsid w:val="00EE441B"/>
    <w:rsid w:val="00EE5F8F"/>
    <w:rsid w:val="00F00459"/>
    <w:rsid w:val="00F1696C"/>
    <w:rsid w:val="00F24297"/>
    <w:rsid w:val="00F31124"/>
    <w:rsid w:val="00F455B8"/>
    <w:rsid w:val="00F53417"/>
    <w:rsid w:val="00F54CDB"/>
    <w:rsid w:val="00F67E6C"/>
    <w:rsid w:val="00F724C7"/>
    <w:rsid w:val="00F73E47"/>
    <w:rsid w:val="00F76D43"/>
    <w:rsid w:val="00F80495"/>
    <w:rsid w:val="00F85588"/>
    <w:rsid w:val="00F90001"/>
    <w:rsid w:val="00F97508"/>
    <w:rsid w:val="00FB08DE"/>
    <w:rsid w:val="00FB22AD"/>
    <w:rsid w:val="00FB5D6D"/>
    <w:rsid w:val="00FC6A81"/>
    <w:rsid w:val="00FD5295"/>
    <w:rsid w:val="00FE7328"/>
    <w:rsid w:val="00FF3ABD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4BB36"/>
  <w15:chartTrackingRefBased/>
  <w15:docId w15:val="{D191B747-E1EF-4FA6-9688-8DCADB5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FD8"/>
  </w:style>
  <w:style w:type="paragraph" w:styleId="Heading1">
    <w:name w:val="heading 1"/>
    <w:basedOn w:val="Normal"/>
    <w:next w:val="Normal"/>
    <w:link w:val="Heading1Char"/>
    <w:uiPriority w:val="9"/>
    <w:qFormat/>
    <w:rsid w:val="000436EF"/>
    <w:pPr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4C7"/>
    <w:pPr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4C7"/>
    <w:pPr>
      <w:spacing w:after="60" w:line="240" w:lineRule="auto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4C"/>
  </w:style>
  <w:style w:type="paragraph" w:styleId="Footer">
    <w:name w:val="footer"/>
    <w:basedOn w:val="Normal"/>
    <w:link w:val="FooterChar"/>
    <w:uiPriority w:val="99"/>
    <w:unhideWhenUsed/>
    <w:rsid w:val="00A6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4C"/>
  </w:style>
  <w:style w:type="table" w:styleId="TableGrid">
    <w:name w:val="Table Grid"/>
    <w:basedOn w:val="TableNormal"/>
    <w:uiPriority w:val="39"/>
    <w:rsid w:val="00A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94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36EF"/>
    <w:rPr>
      <w:b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E243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24C7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724C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icpac/recommendations/flexible-endoscope-reprocess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8E29-FEEC-43DA-B1C1-24426DE72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E65C8-AB97-4C0D-A344-3F38D1D5F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B6B62-8D1A-4A36-BE67-67EA80A1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EB4200-C9C7-4120-8F53-D77FF04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AORN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Cowperthwaite</dc:creator>
  <cp:keywords/>
  <dc:description/>
  <cp:lastModifiedBy>Pecoraro, Rose (CDC/OID/NCEZID)</cp:lastModifiedBy>
  <cp:revision>4</cp:revision>
  <cp:lastPrinted>2017-06-14T11:55:00Z</cp:lastPrinted>
  <dcterms:created xsi:type="dcterms:W3CDTF">2017-06-29T13:07:00Z</dcterms:created>
  <dcterms:modified xsi:type="dcterms:W3CDTF">2017-07-06T15:04:00Z</dcterms:modified>
</cp:coreProperties>
</file>