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41" w:rsidRDefault="00A85541">
      <w:pPr>
        <w:tabs>
          <w:tab w:val="left" w:pos="1530"/>
        </w:tabs>
        <w:rPr>
          <w:szCs w:val="24"/>
        </w:rPr>
      </w:pPr>
      <w:bookmarkStart w:id="0" w:name="_GoBack"/>
      <w:bookmarkEnd w:id="0"/>
    </w:p>
    <w:p w:rsidR="00642845" w:rsidRPr="005652E2" w:rsidRDefault="00642845">
      <w:pPr>
        <w:tabs>
          <w:tab w:val="left" w:pos="1530"/>
        </w:tabs>
        <w:rPr>
          <w:szCs w:val="24"/>
        </w:rPr>
      </w:pPr>
      <w:r w:rsidRPr="005652E2">
        <w:rPr>
          <w:szCs w:val="24"/>
        </w:rPr>
        <w:t xml:space="preserve">July </w:t>
      </w:r>
      <w:r w:rsidR="0063317E">
        <w:rPr>
          <w:szCs w:val="24"/>
        </w:rPr>
        <w:t>14</w:t>
      </w:r>
      <w:r w:rsidRPr="005652E2">
        <w:rPr>
          <w:szCs w:val="24"/>
        </w:rPr>
        <w:t>, 2015</w:t>
      </w:r>
    </w:p>
    <w:p w:rsidR="00642845" w:rsidRDefault="00642845">
      <w:pPr>
        <w:tabs>
          <w:tab w:val="left" w:pos="1530"/>
        </w:tabs>
        <w:rPr>
          <w:szCs w:val="24"/>
        </w:rPr>
      </w:pPr>
    </w:p>
    <w:p w:rsidR="00A85541" w:rsidRDefault="00A85541">
      <w:pPr>
        <w:tabs>
          <w:tab w:val="left" w:pos="1530"/>
        </w:tabs>
        <w:rPr>
          <w:szCs w:val="24"/>
        </w:rPr>
      </w:pPr>
    </w:p>
    <w:p w:rsidR="00A85541" w:rsidRDefault="00B81D3A">
      <w:pPr>
        <w:tabs>
          <w:tab w:val="left" w:pos="1530"/>
        </w:tabs>
        <w:rPr>
          <w:szCs w:val="24"/>
        </w:rPr>
      </w:pPr>
      <w:r>
        <w:rPr>
          <w:szCs w:val="24"/>
        </w:rPr>
        <w:t>Hospital Administrator</w:t>
      </w:r>
    </w:p>
    <w:p w:rsidR="00B81D3A" w:rsidRDefault="00B81D3A">
      <w:pPr>
        <w:tabs>
          <w:tab w:val="left" w:pos="1530"/>
        </w:tabs>
        <w:rPr>
          <w:szCs w:val="24"/>
        </w:rPr>
      </w:pPr>
      <w:r>
        <w:rPr>
          <w:szCs w:val="24"/>
        </w:rPr>
        <w:t>Name of Hospital</w:t>
      </w:r>
    </w:p>
    <w:p w:rsidR="00B81D3A" w:rsidRDefault="00B81D3A">
      <w:pPr>
        <w:tabs>
          <w:tab w:val="left" w:pos="1530"/>
        </w:tabs>
        <w:rPr>
          <w:szCs w:val="24"/>
        </w:rPr>
      </w:pPr>
      <w:r>
        <w:rPr>
          <w:szCs w:val="24"/>
        </w:rPr>
        <w:t>Address</w:t>
      </w:r>
    </w:p>
    <w:p w:rsidR="00B81D3A" w:rsidRPr="00A85541" w:rsidRDefault="00B81D3A">
      <w:pPr>
        <w:tabs>
          <w:tab w:val="left" w:pos="1530"/>
        </w:tabs>
        <w:rPr>
          <w:szCs w:val="24"/>
        </w:rPr>
      </w:pPr>
    </w:p>
    <w:p w:rsidR="00044F04" w:rsidRPr="00A85541" w:rsidRDefault="00044F04">
      <w:pPr>
        <w:tabs>
          <w:tab w:val="left" w:pos="1530"/>
        </w:tabs>
        <w:rPr>
          <w:szCs w:val="24"/>
        </w:rPr>
      </w:pPr>
    </w:p>
    <w:p w:rsidR="00642845" w:rsidRPr="005652E2" w:rsidRDefault="00642845">
      <w:pPr>
        <w:tabs>
          <w:tab w:val="left" w:pos="1530"/>
        </w:tabs>
        <w:rPr>
          <w:szCs w:val="24"/>
        </w:rPr>
      </w:pPr>
      <w:r w:rsidRPr="005652E2">
        <w:rPr>
          <w:szCs w:val="24"/>
        </w:rPr>
        <w:t>Dear:</w:t>
      </w:r>
    </w:p>
    <w:p w:rsidR="00642845" w:rsidRPr="005652E2" w:rsidRDefault="00642845">
      <w:pPr>
        <w:tabs>
          <w:tab w:val="left" w:pos="1530"/>
        </w:tabs>
        <w:rPr>
          <w:szCs w:val="24"/>
        </w:rPr>
      </w:pPr>
    </w:p>
    <w:p w:rsidR="00713AFB" w:rsidRPr="005652E2" w:rsidRDefault="00642845" w:rsidP="00044AE9">
      <w:pPr>
        <w:tabs>
          <w:tab w:val="left" w:pos="1530"/>
        </w:tabs>
        <w:rPr>
          <w:szCs w:val="24"/>
        </w:rPr>
      </w:pPr>
      <w:r w:rsidRPr="005652E2">
        <w:rPr>
          <w:szCs w:val="24"/>
        </w:rPr>
        <w:t>As the Division of Public Health</w:t>
      </w:r>
      <w:r w:rsidR="005652E2" w:rsidRPr="005652E2">
        <w:rPr>
          <w:szCs w:val="24"/>
        </w:rPr>
        <w:t xml:space="preserve"> (DPH)</w:t>
      </w:r>
      <w:r w:rsidRPr="005652E2">
        <w:rPr>
          <w:szCs w:val="24"/>
        </w:rPr>
        <w:t xml:space="preserve"> reviews progress toward reducing healthcare-associated infections (HAI</w:t>
      </w:r>
      <w:r w:rsidR="005652E2" w:rsidRPr="005652E2">
        <w:rPr>
          <w:szCs w:val="24"/>
        </w:rPr>
        <w:t>s</w:t>
      </w:r>
      <w:r w:rsidRPr="005652E2">
        <w:rPr>
          <w:szCs w:val="24"/>
        </w:rPr>
        <w:t xml:space="preserve">), we extend our appreciation to you and your staff for your efforts to deliver the safest </w:t>
      </w:r>
      <w:r w:rsidR="00044AE9" w:rsidRPr="005652E2">
        <w:rPr>
          <w:szCs w:val="24"/>
        </w:rPr>
        <w:t xml:space="preserve">health care to </w:t>
      </w:r>
      <w:r w:rsidR="00F112A7" w:rsidRPr="005652E2">
        <w:rPr>
          <w:szCs w:val="24"/>
        </w:rPr>
        <w:t>Wisconsin</w:t>
      </w:r>
      <w:r w:rsidR="00044AE9" w:rsidRPr="005652E2">
        <w:rPr>
          <w:szCs w:val="24"/>
        </w:rPr>
        <w:t xml:space="preserve"> patients</w:t>
      </w:r>
      <w:r w:rsidR="00F112A7" w:rsidRPr="005652E2">
        <w:rPr>
          <w:szCs w:val="24"/>
        </w:rPr>
        <w:t>.</w:t>
      </w:r>
      <w:r w:rsidR="00044AE9" w:rsidRPr="005652E2">
        <w:rPr>
          <w:szCs w:val="24"/>
        </w:rPr>
        <w:t xml:space="preserve"> Significant progress toward </w:t>
      </w:r>
      <w:r w:rsidR="005170CD" w:rsidRPr="005652E2">
        <w:rPr>
          <w:szCs w:val="24"/>
        </w:rPr>
        <w:t xml:space="preserve">reduction </w:t>
      </w:r>
      <w:r w:rsidR="00044AE9" w:rsidRPr="005652E2">
        <w:rPr>
          <w:szCs w:val="24"/>
        </w:rPr>
        <w:t xml:space="preserve">of selected HAIs has occurred during the past five years, thanks to </w:t>
      </w:r>
      <w:r w:rsidR="00F112A7" w:rsidRPr="005652E2">
        <w:rPr>
          <w:szCs w:val="24"/>
        </w:rPr>
        <w:t>healthcare facilities</w:t>
      </w:r>
      <w:r w:rsidR="00044AE9" w:rsidRPr="005652E2">
        <w:rPr>
          <w:szCs w:val="24"/>
        </w:rPr>
        <w:t xml:space="preserve"> such as yours. </w:t>
      </w:r>
    </w:p>
    <w:p w:rsidR="00713AFB" w:rsidRPr="005652E2" w:rsidRDefault="00713AFB" w:rsidP="00044AE9">
      <w:pPr>
        <w:tabs>
          <w:tab w:val="left" w:pos="1530"/>
        </w:tabs>
        <w:rPr>
          <w:szCs w:val="24"/>
        </w:rPr>
      </w:pPr>
    </w:p>
    <w:p w:rsidR="001F5992" w:rsidRPr="005652E2" w:rsidRDefault="00713AFB" w:rsidP="001F5992">
      <w:pPr>
        <w:tabs>
          <w:tab w:val="left" w:pos="1530"/>
        </w:tabs>
        <w:rPr>
          <w:szCs w:val="24"/>
        </w:rPr>
      </w:pPr>
      <w:r w:rsidRPr="005652E2">
        <w:rPr>
          <w:szCs w:val="24"/>
        </w:rPr>
        <w:lastRenderedPageBreak/>
        <w:t>The success of Wisconsin healthcare organizations is exemplified by reductions in central line-associated bloodstream infections (CLABSI)</w:t>
      </w:r>
      <w:r w:rsidR="001F5992" w:rsidRPr="005652E2">
        <w:rPr>
          <w:szCs w:val="24"/>
        </w:rPr>
        <w:t>, with Wisconsin occurrence more than 50% below the national benchmark</w:t>
      </w:r>
      <w:r w:rsidR="00F112A7" w:rsidRPr="005652E2">
        <w:rPr>
          <w:szCs w:val="24"/>
        </w:rPr>
        <w:t>. This means</w:t>
      </w:r>
      <w:r w:rsidR="001F5992" w:rsidRPr="005652E2">
        <w:rPr>
          <w:szCs w:val="24"/>
        </w:rPr>
        <w:t xml:space="preserve"> we have exceeded the 2013 national goal set </w:t>
      </w:r>
      <w:r w:rsidR="00F112A7" w:rsidRPr="005652E2">
        <w:rPr>
          <w:szCs w:val="24"/>
        </w:rPr>
        <w:t xml:space="preserve">under </w:t>
      </w:r>
      <w:r w:rsidR="001F5992" w:rsidRPr="005652E2">
        <w:rPr>
          <w:szCs w:val="24"/>
        </w:rPr>
        <w:t xml:space="preserve">the Department of Health and Human Services National HAI Action Plan. Statewide occurrence of methicillin-resistant </w:t>
      </w:r>
      <w:r w:rsidR="001F5992" w:rsidRPr="005652E2">
        <w:rPr>
          <w:i/>
          <w:szCs w:val="24"/>
        </w:rPr>
        <w:t xml:space="preserve">Staphylococcus aureus </w:t>
      </w:r>
      <w:r w:rsidR="001F5992" w:rsidRPr="005652E2">
        <w:rPr>
          <w:szCs w:val="24"/>
        </w:rPr>
        <w:t>(MRSA)</w:t>
      </w:r>
      <w:r w:rsidR="001F5992" w:rsidRPr="005652E2">
        <w:rPr>
          <w:i/>
          <w:szCs w:val="24"/>
        </w:rPr>
        <w:t xml:space="preserve"> </w:t>
      </w:r>
      <w:r w:rsidR="001F5992" w:rsidRPr="005652E2">
        <w:rPr>
          <w:szCs w:val="24"/>
        </w:rPr>
        <w:t xml:space="preserve">bacteremia is also well below the national goal of a 25% reduction. Wisconsin hospitals have </w:t>
      </w:r>
      <w:r w:rsidR="005652E2" w:rsidRPr="005652E2">
        <w:rPr>
          <w:szCs w:val="24"/>
        </w:rPr>
        <w:t>experienced</w:t>
      </w:r>
      <w:r w:rsidR="001F5992" w:rsidRPr="005652E2">
        <w:rPr>
          <w:szCs w:val="24"/>
        </w:rPr>
        <w:t xml:space="preserve"> a 44% reduction in MRSA bacteremia compared to the national benchmark. </w:t>
      </w:r>
    </w:p>
    <w:p w:rsidR="001F5992" w:rsidRPr="005652E2" w:rsidRDefault="001F5992" w:rsidP="001F5992">
      <w:pPr>
        <w:tabs>
          <w:tab w:val="left" w:pos="1530"/>
        </w:tabs>
        <w:rPr>
          <w:szCs w:val="24"/>
        </w:rPr>
      </w:pPr>
    </w:p>
    <w:p w:rsidR="001F5992" w:rsidRPr="005652E2" w:rsidRDefault="005652E2" w:rsidP="001F5992">
      <w:pPr>
        <w:tabs>
          <w:tab w:val="left" w:pos="1530"/>
        </w:tabs>
        <w:rPr>
          <w:szCs w:val="24"/>
        </w:rPr>
      </w:pPr>
      <w:r w:rsidRPr="005652E2">
        <w:rPr>
          <w:szCs w:val="24"/>
        </w:rPr>
        <w:t>However, d</w:t>
      </w:r>
      <w:r w:rsidR="00AA6F56" w:rsidRPr="005652E2">
        <w:rPr>
          <w:szCs w:val="24"/>
        </w:rPr>
        <w:t xml:space="preserve">espite great strides, challenges </w:t>
      </w:r>
      <w:r w:rsidRPr="005652E2">
        <w:rPr>
          <w:szCs w:val="24"/>
        </w:rPr>
        <w:t>to</w:t>
      </w:r>
      <w:r w:rsidR="00AA6F56" w:rsidRPr="005652E2">
        <w:rPr>
          <w:szCs w:val="24"/>
        </w:rPr>
        <w:t xml:space="preserve"> HAI reduction remain. </w:t>
      </w:r>
      <w:r w:rsidR="006303CC" w:rsidRPr="005652E2">
        <w:rPr>
          <w:szCs w:val="24"/>
        </w:rPr>
        <w:t>National goals</w:t>
      </w:r>
      <w:r w:rsidR="00AA6F56" w:rsidRPr="005652E2">
        <w:rPr>
          <w:szCs w:val="24"/>
        </w:rPr>
        <w:t xml:space="preserve"> toward reducing catheter-associated urinary tract infections</w:t>
      </w:r>
      <w:r w:rsidR="006303CC" w:rsidRPr="005652E2">
        <w:rPr>
          <w:szCs w:val="24"/>
        </w:rPr>
        <w:t xml:space="preserve"> (CAUTI) and </w:t>
      </w:r>
      <w:r w:rsidR="006303CC" w:rsidRPr="005652E2">
        <w:rPr>
          <w:i/>
          <w:szCs w:val="24"/>
        </w:rPr>
        <w:t>Clostridium difficile</w:t>
      </w:r>
      <w:r w:rsidR="006303CC" w:rsidRPr="005652E2">
        <w:rPr>
          <w:szCs w:val="24"/>
        </w:rPr>
        <w:t xml:space="preserve"> infections </w:t>
      </w:r>
      <w:r w:rsidR="00465837">
        <w:rPr>
          <w:szCs w:val="24"/>
        </w:rPr>
        <w:t xml:space="preserve">(CDI) </w:t>
      </w:r>
      <w:r w:rsidR="006303CC" w:rsidRPr="005652E2">
        <w:rPr>
          <w:szCs w:val="24"/>
        </w:rPr>
        <w:t>have not been met among Wisconsin hospitals</w:t>
      </w:r>
      <w:r w:rsidR="00BF2BA1" w:rsidRPr="005652E2">
        <w:rPr>
          <w:szCs w:val="24"/>
        </w:rPr>
        <w:t>. F</w:t>
      </w:r>
      <w:r w:rsidR="006303CC" w:rsidRPr="005652E2">
        <w:rPr>
          <w:szCs w:val="24"/>
        </w:rPr>
        <w:t xml:space="preserve">urthermore, </w:t>
      </w:r>
      <w:r w:rsidR="00BF2BA1" w:rsidRPr="005652E2">
        <w:rPr>
          <w:szCs w:val="24"/>
        </w:rPr>
        <w:t>several</w:t>
      </w:r>
      <w:r w:rsidR="006303CC" w:rsidRPr="005652E2">
        <w:rPr>
          <w:szCs w:val="24"/>
        </w:rPr>
        <w:t xml:space="preserve"> individual facilities continue to experience CLABSI occurrence above the national goal. </w:t>
      </w:r>
    </w:p>
    <w:p w:rsidR="006303CC" w:rsidRPr="005652E2" w:rsidRDefault="006303CC" w:rsidP="001F5992">
      <w:pPr>
        <w:tabs>
          <w:tab w:val="left" w:pos="1530"/>
        </w:tabs>
        <w:rPr>
          <w:szCs w:val="24"/>
        </w:rPr>
      </w:pPr>
    </w:p>
    <w:p w:rsidR="00721BBC" w:rsidRDefault="006303CC" w:rsidP="001F5992">
      <w:pPr>
        <w:tabs>
          <w:tab w:val="left" w:pos="1530"/>
        </w:tabs>
        <w:rPr>
          <w:szCs w:val="24"/>
        </w:rPr>
      </w:pPr>
      <w:r w:rsidRPr="005652E2">
        <w:rPr>
          <w:szCs w:val="24"/>
        </w:rPr>
        <w:t xml:space="preserve">You are receiving this letter because </w:t>
      </w:r>
      <w:r w:rsidR="00743D3C" w:rsidRPr="005652E2">
        <w:rPr>
          <w:szCs w:val="24"/>
        </w:rPr>
        <w:t xml:space="preserve">2014 HAI data indicate your facility has not met the </w:t>
      </w:r>
      <w:r w:rsidR="005836C7">
        <w:rPr>
          <w:szCs w:val="24"/>
        </w:rPr>
        <w:t xml:space="preserve">2013 </w:t>
      </w:r>
      <w:r w:rsidR="00743D3C" w:rsidRPr="005652E2">
        <w:rPr>
          <w:szCs w:val="24"/>
        </w:rPr>
        <w:t>national HAI reduction goal</w:t>
      </w:r>
      <w:r w:rsidR="00BF2BA1" w:rsidRPr="005652E2">
        <w:rPr>
          <w:szCs w:val="24"/>
        </w:rPr>
        <w:t>s</w:t>
      </w:r>
      <w:r w:rsidR="00743D3C" w:rsidRPr="005652E2">
        <w:rPr>
          <w:szCs w:val="24"/>
        </w:rPr>
        <w:t xml:space="preserve"> for at least one of three targeted HAIs</w:t>
      </w:r>
      <w:r w:rsidR="00FA00E2" w:rsidRPr="005652E2">
        <w:rPr>
          <w:szCs w:val="24"/>
        </w:rPr>
        <w:t xml:space="preserve">—CLABSI, CAUTI </w:t>
      </w:r>
      <w:r w:rsidR="005652E2" w:rsidRPr="005652E2">
        <w:rPr>
          <w:szCs w:val="24"/>
        </w:rPr>
        <w:t>or</w:t>
      </w:r>
      <w:r w:rsidR="00FA00E2" w:rsidRPr="005652E2">
        <w:rPr>
          <w:szCs w:val="24"/>
        </w:rPr>
        <w:t xml:space="preserve"> CDI</w:t>
      </w:r>
      <w:r w:rsidR="00743D3C" w:rsidRPr="005652E2">
        <w:rPr>
          <w:szCs w:val="24"/>
        </w:rPr>
        <w:t xml:space="preserve">. </w:t>
      </w:r>
      <w:r w:rsidR="00721BBC" w:rsidRPr="005652E2">
        <w:rPr>
          <w:szCs w:val="24"/>
        </w:rPr>
        <w:t>The table below indicates the HAI</w:t>
      </w:r>
      <w:r w:rsidR="00FA00E2" w:rsidRPr="005652E2">
        <w:rPr>
          <w:szCs w:val="24"/>
        </w:rPr>
        <w:t>s</w:t>
      </w:r>
      <w:r w:rsidR="00721BBC" w:rsidRPr="005652E2">
        <w:rPr>
          <w:szCs w:val="24"/>
        </w:rPr>
        <w:t xml:space="preserve"> for which your facility </w:t>
      </w:r>
      <w:r w:rsidR="00721BBC" w:rsidRPr="005652E2">
        <w:rPr>
          <w:szCs w:val="24"/>
        </w:rPr>
        <w:lastRenderedPageBreak/>
        <w:t xml:space="preserve">has an occurrence above the national </w:t>
      </w:r>
      <w:r w:rsidR="00F10A37">
        <w:rPr>
          <w:szCs w:val="24"/>
        </w:rPr>
        <w:t>goal</w:t>
      </w:r>
      <w:r w:rsidR="002B00E7">
        <w:rPr>
          <w:szCs w:val="24"/>
        </w:rPr>
        <w:t xml:space="preserve">s set by the Department of Health and Human Services in the National HAI Action Plan. The </w:t>
      </w:r>
      <w:r w:rsidR="00F10A37">
        <w:rPr>
          <w:szCs w:val="24"/>
        </w:rPr>
        <w:t>cumulative attributable difference (CAD</w:t>
      </w:r>
      <w:r w:rsidR="009F35AF">
        <w:rPr>
          <w:szCs w:val="24"/>
        </w:rPr>
        <w:t>)</w:t>
      </w:r>
      <w:r w:rsidR="002B00E7">
        <w:rPr>
          <w:szCs w:val="24"/>
        </w:rPr>
        <w:t xml:space="preserve"> is </w:t>
      </w:r>
      <w:r w:rsidR="002B00E7">
        <w:rPr>
          <w:sz w:val="23"/>
          <w:szCs w:val="23"/>
        </w:rPr>
        <w:t xml:space="preserve">the number of infections that must be prevented within your facility to achieve the national standardized infection ratio </w:t>
      </w:r>
      <w:r w:rsidR="009F35AF">
        <w:rPr>
          <w:sz w:val="23"/>
          <w:szCs w:val="23"/>
        </w:rPr>
        <w:t>(</w:t>
      </w:r>
      <w:r w:rsidR="002B00E7">
        <w:rPr>
          <w:sz w:val="23"/>
          <w:szCs w:val="23"/>
        </w:rPr>
        <w:t>SIR</w:t>
      </w:r>
      <w:r w:rsidR="009F35AF">
        <w:rPr>
          <w:sz w:val="23"/>
          <w:szCs w:val="23"/>
        </w:rPr>
        <w:t>)</w:t>
      </w:r>
      <w:r w:rsidR="002B00E7">
        <w:rPr>
          <w:sz w:val="23"/>
          <w:szCs w:val="23"/>
        </w:rPr>
        <w:t xml:space="preserve"> goal. </w:t>
      </w:r>
    </w:p>
    <w:p w:rsidR="002B00E7" w:rsidRPr="005652E2" w:rsidRDefault="002B00E7" w:rsidP="001F5992">
      <w:pPr>
        <w:tabs>
          <w:tab w:val="left" w:pos="1530"/>
        </w:tabs>
        <w:rPr>
          <w:szCs w:val="24"/>
        </w:rPr>
      </w:pPr>
    </w:p>
    <w:p w:rsidR="00642845" w:rsidRPr="005652E2" w:rsidRDefault="00721BBC">
      <w:pPr>
        <w:tabs>
          <w:tab w:val="left" w:pos="1530"/>
        </w:tabs>
        <w:rPr>
          <w:szCs w:val="24"/>
        </w:rPr>
      </w:pPr>
      <w:r w:rsidRPr="005652E2">
        <w:rPr>
          <w:szCs w:val="24"/>
        </w:rPr>
        <w:t>MetaStar, Inc. and the Wisconsin Hospital Association</w:t>
      </w:r>
      <w:r w:rsidR="005652E2" w:rsidRPr="005652E2">
        <w:rPr>
          <w:szCs w:val="24"/>
        </w:rPr>
        <w:t xml:space="preserve"> (WHA)</w:t>
      </w:r>
      <w:r w:rsidRPr="005652E2">
        <w:rPr>
          <w:szCs w:val="24"/>
        </w:rPr>
        <w:t xml:space="preserve"> provide HAI reduction consultative services, including education and peer networking, to Wisconsin healthcare facilities at no cost. The tradition of collaboration among Wisconsin</w:t>
      </w:r>
      <w:r w:rsidR="00FA00E2" w:rsidRPr="005652E2">
        <w:rPr>
          <w:szCs w:val="24"/>
        </w:rPr>
        <w:t xml:space="preserve"> hospitals</w:t>
      </w:r>
      <w:r w:rsidRPr="005652E2">
        <w:rPr>
          <w:szCs w:val="24"/>
        </w:rPr>
        <w:t xml:space="preserve"> is a proven</w:t>
      </w:r>
      <w:r w:rsidR="00FA00E2" w:rsidRPr="005652E2">
        <w:rPr>
          <w:szCs w:val="24"/>
        </w:rPr>
        <w:t xml:space="preserve"> </w:t>
      </w:r>
      <w:r w:rsidRPr="005652E2">
        <w:rPr>
          <w:szCs w:val="24"/>
        </w:rPr>
        <w:t>method for improving healthcare quality, and DPH strongly encourages your facility to participate</w:t>
      </w:r>
      <w:r w:rsidR="005652E2" w:rsidRPr="005652E2">
        <w:rPr>
          <w:szCs w:val="24"/>
        </w:rPr>
        <w:t xml:space="preserve"> in</w:t>
      </w:r>
      <w:r w:rsidRPr="005652E2">
        <w:rPr>
          <w:szCs w:val="24"/>
        </w:rPr>
        <w:t xml:space="preserve"> </w:t>
      </w:r>
      <w:r w:rsidR="00F112A7" w:rsidRPr="005652E2">
        <w:rPr>
          <w:szCs w:val="24"/>
        </w:rPr>
        <w:t>one of the collaborative HAI reduction groups led by</w:t>
      </w:r>
      <w:r w:rsidRPr="005652E2">
        <w:rPr>
          <w:szCs w:val="24"/>
        </w:rPr>
        <w:t xml:space="preserve"> these organizations. We also encourage you to take advantage of their numerous training and educational opportunities</w:t>
      </w:r>
      <w:r w:rsidR="00F112A7" w:rsidRPr="005652E2">
        <w:rPr>
          <w:szCs w:val="24"/>
        </w:rPr>
        <w:t>.</w:t>
      </w:r>
      <w:r w:rsidR="00FA00E2" w:rsidRPr="005652E2">
        <w:rPr>
          <w:szCs w:val="24"/>
        </w:rPr>
        <w:t xml:space="preserve"> </w:t>
      </w:r>
      <w:r w:rsidR="005652E2" w:rsidRPr="005652E2">
        <w:rPr>
          <w:szCs w:val="24"/>
        </w:rPr>
        <w:t>Participation in these</w:t>
      </w:r>
      <w:r w:rsidR="00BF2BA1" w:rsidRPr="005652E2">
        <w:rPr>
          <w:szCs w:val="24"/>
        </w:rPr>
        <w:t xml:space="preserve"> activities will assist your healthcare quality teams in achieving </w:t>
      </w:r>
      <w:r w:rsidR="00F13D06" w:rsidRPr="005652E2">
        <w:rPr>
          <w:szCs w:val="24"/>
        </w:rPr>
        <w:t xml:space="preserve">the best patient outcomes possible. The attached brochure provides contact information for </w:t>
      </w:r>
      <w:r w:rsidR="00F112A7" w:rsidRPr="005652E2">
        <w:rPr>
          <w:szCs w:val="24"/>
        </w:rPr>
        <w:t>MetaStar and WHA</w:t>
      </w:r>
      <w:r w:rsidR="00F13D06" w:rsidRPr="005652E2">
        <w:rPr>
          <w:szCs w:val="24"/>
        </w:rPr>
        <w:t xml:space="preserve">. </w:t>
      </w:r>
    </w:p>
    <w:p w:rsidR="00F13D06" w:rsidRPr="005652E2" w:rsidRDefault="00F13D06">
      <w:pPr>
        <w:tabs>
          <w:tab w:val="left" w:pos="1530"/>
        </w:tabs>
        <w:rPr>
          <w:szCs w:val="24"/>
        </w:rPr>
      </w:pPr>
    </w:p>
    <w:p w:rsidR="00CE2CB6" w:rsidRDefault="00F13D06">
      <w:pPr>
        <w:tabs>
          <w:tab w:val="left" w:pos="1530"/>
        </w:tabs>
        <w:rPr>
          <w:szCs w:val="24"/>
        </w:rPr>
      </w:pPr>
      <w:r w:rsidRPr="005652E2">
        <w:rPr>
          <w:szCs w:val="24"/>
        </w:rPr>
        <w:t>Again, thank you for your contributions to statewide HAI reduction efforts</w:t>
      </w:r>
      <w:r w:rsidR="0063317E">
        <w:rPr>
          <w:szCs w:val="24"/>
        </w:rPr>
        <w:t>. W</w:t>
      </w:r>
      <w:r w:rsidRPr="005652E2">
        <w:rPr>
          <w:szCs w:val="24"/>
        </w:rPr>
        <w:t xml:space="preserve">e look forward to </w:t>
      </w:r>
      <w:r w:rsidR="00F112A7" w:rsidRPr="005652E2">
        <w:rPr>
          <w:szCs w:val="24"/>
        </w:rPr>
        <w:t>even greater achievements</w:t>
      </w:r>
      <w:r w:rsidRPr="005652E2">
        <w:rPr>
          <w:szCs w:val="24"/>
        </w:rPr>
        <w:t xml:space="preserve"> as we continue our work together.</w:t>
      </w:r>
    </w:p>
    <w:p w:rsidR="00CE2CB6" w:rsidRDefault="00CE2CB6">
      <w:pPr>
        <w:tabs>
          <w:tab w:val="left" w:pos="1530"/>
        </w:tabs>
        <w:rPr>
          <w:szCs w:val="24"/>
        </w:rPr>
      </w:pPr>
    </w:p>
    <w:p w:rsidR="00CE2CB6" w:rsidRDefault="00CE2CB6">
      <w:pPr>
        <w:tabs>
          <w:tab w:val="left" w:pos="1530"/>
        </w:tabs>
        <w:rPr>
          <w:szCs w:val="24"/>
        </w:rPr>
      </w:pPr>
    </w:p>
    <w:p w:rsidR="005652E2" w:rsidRDefault="00F13D06">
      <w:pPr>
        <w:tabs>
          <w:tab w:val="left" w:pos="1530"/>
        </w:tabs>
        <w:rPr>
          <w:szCs w:val="24"/>
        </w:rPr>
      </w:pPr>
      <w:r w:rsidRPr="005652E2">
        <w:rPr>
          <w:szCs w:val="24"/>
        </w:rPr>
        <w:t>Sincerely,</w:t>
      </w:r>
    </w:p>
    <w:p w:rsidR="00CE2CB6" w:rsidRDefault="00CE2CB6">
      <w:pPr>
        <w:tabs>
          <w:tab w:val="left" w:pos="1530"/>
        </w:tabs>
        <w:rPr>
          <w:szCs w:val="24"/>
        </w:rPr>
      </w:pPr>
    </w:p>
    <w:p w:rsidR="00CE2CB6" w:rsidRDefault="00CE2CB6">
      <w:pPr>
        <w:tabs>
          <w:tab w:val="left" w:pos="1530"/>
        </w:tabs>
        <w:rPr>
          <w:szCs w:val="24"/>
        </w:rPr>
      </w:pPr>
    </w:p>
    <w:p w:rsidR="00CE2CB6" w:rsidRPr="005652E2" w:rsidRDefault="00CE2CB6">
      <w:pPr>
        <w:tabs>
          <w:tab w:val="left" w:pos="1530"/>
        </w:tabs>
        <w:rPr>
          <w:szCs w:val="24"/>
        </w:rPr>
      </w:pPr>
    </w:p>
    <w:p w:rsidR="005652E2" w:rsidRDefault="005652E2">
      <w:pPr>
        <w:tabs>
          <w:tab w:val="left" w:pos="1530"/>
        </w:tabs>
        <w:rPr>
          <w:szCs w:val="24"/>
        </w:rPr>
      </w:pPr>
      <w:r w:rsidRPr="005652E2">
        <w:rPr>
          <w:szCs w:val="24"/>
        </w:rPr>
        <w:t>Jeffrey P. Davis, MD</w:t>
      </w:r>
    </w:p>
    <w:p w:rsidR="005652E2" w:rsidRDefault="005652E2">
      <w:pPr>
        <w:tabs>
          <w:tab w:val="left" w:pos="1530"/>
        </w:tabs>
        <w:rPr>
          <w:szCs w:val="24"/>
        </w:rPr>
      </w:pPr>
      <w:r>
        <w:rPr>
          <w:szCs w:val="24"/>
        </w:rPr>
        <w:t xml:space="preserve">Chief Medical Officer and State Epidemiologist </w:t>
      </w:r>
    </w:p>
    <w:p w:rsidR="005652E2" w:rsidRPr="005652E2" w:rsidRDefault="005652E2">
      <w:pPr>
        <w:tabs>
          <w:tab w:val="left" w:pos="1530"/>
        </w:tabs>
        <w:rPr>
          <w:szCs w:val="24"/>
        </w:rPr>
      </w:pPr>
      <w:proofErr w:type="gramStart"/>
      <w:r>
        <w:rPr>
          <w:szCs w:val="24"/>
        </w:rPr>
        <w:t>for</w:t>
      </w:r>
      <w:proofErr w:type="gramEnd"/>
      <w:r>
        <w:rPr>
          <w:szCs w:val="24"/>
        </w:rPr>
        <w:t xml:space="preserve"> Communicable Diseases</w:t>
      </w:r>
    </w:p>
    <w:p w:rsidR="005652E2" w:rsidRDefault="005652E2">
      <w:pPr>
        <w:tabs>
          <w:tab w:val="left" w:pos="1530"/>
        </w:tabs>
        <w:rPr>
          <w:szCs w:val="24"/>
        </w:rPr>
      </w:pPr>
    </w:p>
    <w:p w:rsidR="00E5249A" w:rsidRDefault="00E5249A">
      <w:pPr>
        <w:tabs>
          <w:tab w:val="left" w:pos="1530"/>
        </w:tabs>
        <w:rPr>
          <w:szCs w:val="24"/>
        </w:rPr>
      </w:pPr>
    </w:p>
    <w:p w:rsidR="00CE2CB6" w:rsidRDefault="00CE2CB6" w:rsidP="00CE2CB6">
      <w:pPr>
        <w:tabs>
          <w:tab w:val="left" w:pos="270"/>
          <w:tab w:val="left" w:pos="360"/>
          <w:tab w:val="left" w:pos="450"/>
          <w:tab w:val="left" w:pos="1530"/>
        </w:tabs>
        <w:rPr>
          <w:szCs w:val="24"/>
        </w:rPr>
      </w:pPr>
      <w:r>
        <w:rPr>
          <w:szCs w:val="24"/>
        </w:rPr>
        <w:t>Cc: Chief Nursing Officers</w:t>
      </w:r>
    </w:p>
    <w:p w:rsidR="00CE2CB6" w:rsidRDefault="00CE2CB6" w:rsidP="00CE2CB6">
      <w:pPr>
        <w:tabs>
          <w:tab w:val="left" w:pos="1530"/>
        </w:tabs>
        <w:rPr>
          <w:szCs w:val="24"/>
        </w:rPr>
      </w:pPr>
      <w:r>
        <w:rPr>
          <w:szCs w:val="24"/>
        </w:rPr>
        <w:t xml:space="preserve">       Infection Preventionists</w:t>
      </w:r>
    </w:p>
    <w:p w:rsidR="00CE2CB6" w:rsidRDefault="00CE2CB6" w:rsidP="00CE2CB6">
      <w:pPr>
        <w:tabs>
          <w:tab w:val="left" w:pos="1530"/>
        </w:tabs>
        <w:rPr>
          <w:szCs w:val="24"/>
        </w:rPr>
      </w:pPr>
      <w:r>
        <w:rPr>
          <w:szCs w:val="24"/>
        </w:rPr>
        <w:t xml:space="preserve">       Quality Resources Directors</w:t>
      </w:r>
    </w:p>
    <w:p w:rsidR="00E5249A" w:rsidRDefault="00E5249A">
      <w:pPr>
        <w:tabs>
          <w:tab w:val="left" w:pos="1530"/>
        </w:tabs>
        <w:rPr>
          <w:szCs w:val="24"/>
        </w:rPr>
      </w:pPr>
    </w:p>
    <w:p w:rsidR="00CE2CB6" w:rsidRDefault="00CE2CB6">
      <w:pPr>
        <w:tabs>
          <w:tab w:val="left" w:pos="1530"/>
        </w:tabs>
        <w:rPr>
          <w:szCs w:val="24"/>
        </w:rPr>
      </w:pPr>
    </w:p>
    <w:p w:rsidR="00A85541" w:rsidRDefault="00A85541">
      <w:pPr>
        <w:tabs>
          <w:tab w:val="left" w:pos="1530"/>
        </w:tabs>
        <w:rPr>
          <w:szCs w:val="24"/>
        </w:rPr>
      </w:pPr>
    </w:p>
    <w:p w:rsidR="00B81D3A" w:rsidRPr="00B81D3A" w:rsidRDefault="00B81D3A" w:rsidP="00B81D3A">
      <w:pPr>
        <w:tabs>
          <w:tab w:val="left" w:pos="1530"/>
        </w:tabs>
        <w:jc w:val="center"/>
        <w:rPr>
          <w:szCs w:val="24"/>
        </w:rPr>
      </w:pPr>
      <w:r>
        <w:rPr>
          <w:szCs w:val="24"/>
        </w:rPr>
        <w:t>Hospital A</w:t>
      </w:r>
    </w:p>
    <w:p w:rsidR="00B81D3A" w:rsidRPr="00B81D3A" w:rsidRDefault="00B81D3A" w:rsidP="00B81D3A">
      <w:pPr>
        <w:tabs>
          <w:tab w:val="left" w:pos="1530"/>
        </w:tabs>
        <w:jc w:val="center"/>
        <w:rPr>
          <w:szCs w:val="24"/>
        </w:rPr>
      </w:pPr>
      <w:r w:rsidRPr="00B81D3A">
        <w:rPr>
          <w:szCs w:val="24"/>
        </w:rPr>
        <w:t>2014 NHSN Data as of July 9, 2015</w:t>
      </w:r>
    </w:p>
    <w:p w:rsidR="00B81D3A" w:rsidRPr="00B81D3A" w:rsidRDefault="00B81D3A" w:rsidP="00B81D3A">
      <w:pPr>
        <w:tabs>
          <w:tab w:val="left" w:pos="1530"/>
        </w:tabs>
        <w:rPr>
          <w:szCs w:val="24"/>
        </w:rPr>
      </w:pPr>
    </w:p>
    <w:tbl>
      <w:tblPr>
        <w:tblW w:w="111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1530"/>
        <w:gridCol w:w="1800"/>
        <w:gridCol w:w="1596"/>
        <w:gridCol w:w="2184"/>
        <w:gridCol w:w="1620"/>
      </w:tblGrid>
      <w:tr w:rsidR="00B81D3A" w:rsidRPr="00B81D3A" w:rsidTr="001470DE">
        <w:tc>
          <w:tcPr>
            <w:tcW w:w="2430" w:type="dxa"/>
            <w:shd w:val="clear" w:color="auto" w:fill="auto"/>
          </w:tcPr>
          <w:p w:rsidR="00B81D3A" w:rsidRPr="00B81D3A" w:rsidRDefault="00B81D3A" w:rsidP="00B81D3A">
            <w:pPr>
              <w:tabs>
                <w:tab w:val="left" w:pos="153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1D3A">
              <w:rPr>
                <w:rFonts w:ascii="Arial" w:hAnsi="Arial" w:cs="Arial"/>
                <w:b/>
                <w:sz w:val="22"/>
                <w:szCs w:val="22"/>
              </w:rPr>
              <w:t>HAI</w:t>
            </w:r>
          </w:p>
        </w:tc>
        <w:tc>
          <w:tcPr>
            <w:tcW w:w="1530" w:type="dxa"/>
            <w:shd w:val="clear" w:color="auto" w:fill="auto"/>
          </w:tcPr>
          <w:p w:rsidR="00B81D3A" w:rsidRPr="00B81D3A" w:rsidRDefault="00B81D3A" w:rsidP="00B81D3A">
            <w:pPr>
              <w:tabs>
                <w:tab w:val="left" w:pos="153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1D3A">
              <w:rPr>
                <w:rFonts w:ascii="Arial" w:hAnsi="Arial" w:cs="Arial"/>
                <w:b/>
                <w:sz w:val="22"/>
                <w:szCs w:val="22"/>
              </w:rPr>
              <w:t>Number of Observed Events</w:t>
            </w:r>
          </w:p>
        </w:tc>
        <w:tc>
          <w:tcPr>
            <w:tcW w:w="1800" w:type="dxa"/>
            <w:shd w:val="clear" w:color="auto" w:fill="auto"/>
          </w:tcPr>
          <w:p w:rsidR="00B81D3A" w:rsidRPr="00B81D3A" w:rsidRDefault="00B81D3A" w:rsidP="00B81D3A">
            <w:pPr>
              <w:tabs>
                <w:tab w:val="left" w:pos="153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1D3A">
              <w:rPr>
                <w:rFonts w:ascii="Arial" w:hAnsi="Arial" w:cs="Arial"/>
                <w:b/>
                <w:sz w:val="22"/>
                <w:szCs w:val="22"/>
              </w:rPr>
              <w:t>Number of Predicted Events</w:t>
            </w:r>
          </w:p>
        </w:tc>
        <w:tc>
          <w:tcPr>
            <w:tcW w:w="1596" w:type="dxa"/>
            <w:shd w:val="clear" w:color="auto" w:fill="auto"/>
          </w:tcPr>
          <w:p w:rsidR="00B81D3A" w:rsidRPr="00B81D3A" w:rsidRDefault="00B81D3A" w:rsidP="00B81D3A">
            <w:pPr>
              <w:tabs>
                <w:tab w:val="left" w:pos="153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1D3A">
              <w:rPr>
                <w:rFonts w:ascii="Arial" w:hAnsi="Arial" w:cs="Arial"/>
                <w:b/>
                <w:sz w:val="22"/>
                <w:szCs w:val="22"/>
              </w:rPr>
              <w:t>2014 SIR</w:t>
            </w:r>
          </w:p>
        </w:tc>
        <w:tc>
          <w:tcPr>
            <w:tcW w:w="2184" w:type="dxa"/>
            <w:shd w:val="clear" w:color="auto" w:fill="auto"/>
          </w:tcPr>
          <w:p w:rsidR="00B81D3A" w:rsidRPr="00B81D3A" w:rsidRDefault="00B81D3A" w:rsidP="00B81D3A">
            <w:pPr>
              <w:tabs>
                <w:tab w:val="left" w:pos="153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1D3A">
              <w:rPr>
                <w:rFonts w:ascii="Arial" w:hAnsi="Arial" w:cs="Arial"/>
                <w:b/>
                <w:sz w:val="22"/>
                <w:szCs w:val="22"/>
              </w:rPr>
              <w:t xml:space="preserve">2013 National SIR Goal </w:t>
            </w:r>
          </w:p>
        </w:tc>
        <w:tc>
          <w:tcPr>
            <w:tcW w:w="1620" w:type="dxa"/>
            <w:shd w:val="clear" w:color="auto" w:fill="auto"/>
          </w:tcPr>
          <w:p w:rsidR="00B81D3A" w:rsidRPr="00B81D3A" w:rsidRDefault="00B81D3A" w:rsidP="00B81D3A">
            <w:pPr>
              <w:tabs>
                <w:tab w:val="left" w:pos="153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1D3A">
              <w:rPr>
                <w:rFonts w:ascii="Arial" w:hAnsi="Arial" w:cs="Arial"/>
                <w:b/>
                <w:sz w:val="22"/>
                <w:szCs w:val="22"/>
              </w:rPr>
              <w:t>CAD*</w:t>
            </w:r>
          </w:p>
        </w:tc>
      </w:tr>
      <w:tr w:rsidR="00B81D3A" w:rsidRPr="00B81D3A" w:rsidTr="001470DE">
        <w:tc>
          <w:tcPr>
            <w:tcW w:w="2430" w:type="dxa"/>
            <w:shd w:val="clear" w:color="auto" w:fill="auto"/>
          </w:tcPr>
          <w:p w:rsidR="00B81D3A" w:rsidRPr="00B81D3A" w:rsidRDefault="00B81D3A" w:rsidP="00B81D3A">
            <w:pPr>
              <w:tabs>
                <w:tab w:val="left" w:pos="1530"/>
              </w:tabs>
              <w:rPr>
                <w:rFonts w:ascii="Arial" w:hAnsi="Arial" w:cs="Arial"/>
                <w:sz w:val="22"/>
                <w:szCs w:val="22"/>
              </w:rPr>
            </w:pPr>
            <w:r w:rsidRPr="00B81D3A">
              <w:rPr>
                <w:rFonts w:ascii="Arial" w:hAnsi="Arial" w:cs="Arial"/>
                <w:sz w:val="22"/>
                <w:szCs w:val="22"/>
              </w:rPr>
              <w:t>CDI (healthcare onset)</w:t>
            </w:r>
          </w:p>
        </w:tc>
        <w:tc>
          <w:tcPr>
            <w:tcW w:w="1530" w:type="dxa"/>
            <w:shd w:val="clear" w:color="auto" w:fill="auto"/>
          </w:tcPr>
          <w:p w:rsidR="00B81D3A" w:rsidRPr="00B81D3A" w:rsidRDefault="00B81D3A" w:rsidP="00B81D3A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D3A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800" w:type="dxa"/>
            <w:shd w:val="clear" w:color="auto" w:fill="auto"/>
          </w:tcPr>
          <w:p w:rsidR="00B81D3A" w:rsidRPr="00B81D3A" w:rsidRDefault="00B81D3A" w:rsidP="00B81D3A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D3A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596" w:type="dxa"/>
            <w:shd w:val="clear" w:color="auto" w:fill="auto"/>
          </w:tcPr>
          <w:p w:rsidR="00B81D3A" w:rsidRPr="00B81D3A" w:rsidRDefault="00B81D3A" w:rsidP="00B81D3A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D3A">
              <w:rPr>
                <w:rFonts w:ascii="Arial" w:hAnsi="Arial" w:cs="Arial"/>
                <w:sz w:val="22"/>
                <w:szCs w:val="22"/>
              </w:rPr>
              <w:t>0.9</w:t>
            </w:r>
          </w:p>
        </w:tc>
        <w:tc>
          <w:tcPr>
            <w:tcW w:w="2184" w:type="dxa"/>
            <w:shd w:val="clear" w:color="auto" w:fill="auto"/>
          </w:tcPr>
          <w:p w:rsidR="00B81D3A" w:rsidRPr="00B81D3A" w:rsidRDefault="00B81D3A" w:rsidP="00B81D3A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D3A">
              <w:rPr>
                <w:rFonts w:ascii="Arial" w:hAnsi="Arial" w:cs="Arial"/>
                <w:sz w:val="22"/>
                <w:szCs w:val="22"/>
              </w:rPr>
              <w:t>0.70</w:t>
            </w:r>
          </w:p>
        </w:tc>
        <w:tc>
          <w:tcPr>
            <w:tcW w:w="1620" w:type="dxa"/>
            <w:shd w:val="clear" w:color="auto" w:fill="auto"/>
          </w:tcPr>
          <w:p w:rsidR="00B81D3A" w:rsidRPr="00B81D3A" w:rsidRDefault="00B81D3A" w:rsidP="00B81D3A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D3A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81D3A" w:rsidRPr="00B81D3A" w:rsidTr="001470DE">
        <w:tc>
          <w:tcPr>
            <w:tcW w:w="2430" w:type="dxa"/>
            <w:shd w:val="clear" w:color="auto" w:fill="auto"/>
          </w:tcPr>
          <w:p w:rsidR="00B81D3A" w:rsidRPr="00B81D3A" w:rsidRDefault="00B81D3A" w:rsidP="00B81D3A">
            <w:pPr>
              <w:tabs>
                <w:tab w:val="left" w:pos="1530"/>
              </w:tabs>
              <w:rPr>
                <w:rFonts w:ascii="Arial" w:hAnsi="Arial" w:cs="Arial"/>
                <w:sz w:val="22"/>
                <w:szCs w:val="22"/>
              </w:rPr>
            </w:pPr>
            <w:r w:rsidRPr="00B81D3A">
              <w:rPr>
                <w:rFonts w:ascii="Arial" w:hAnsi="Arial" w:cs="Arial"/>
                <w:sz w:val="22"/>
                <w:szCs w:val="22"/>
              </w:rPr>
              <w:t>CAUTI (all locations)</w:t>
            </w:r>
          </w:p>
        </w:tc>
        <w:tc>
          <w:tcPr>
            <w:tcW w:w="1530" w:type="dxa"/>
            <w:shd w:val="clear" w:color="auto" w:fill="auto"/>
          </w:tcPr>
          <w:p w:rsidR="00B81D3A" w:rsidRPr="00B81D3A" w:rsidRDefault="00B81D3A" w:rsidP="00B348B9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D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48B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B81D3A" w:rsidRPr="00B81D3A" w:rsidRDefault="00666BB5" w:rsidP="00B81D3A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48B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96" w:type="dxa"/>
            <w:shd w:val="clear" w:color="auto" w:fill="auto"/>
          </w:tcPr>
          <w:p w:rsidR="00B81D3A" w:rsidRPr="00B81D3A" w:rsidRDefault="00B81D3A" w:rsidP="00B81D3A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D3A"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2184" w:type="dxa"/>
            <w:shd w:val="clear" w:color="auto" w:fill="auto"/>
          </w:tcPr>
          <w:p w:rsidR="00B81D3A" w:rsidRPr="00B81D3A" w:rsidRDefault="00B81D3A" w:rsidP="00B81D3A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D3A">
              <w:rPr>
                <w:rFonts w:ascii="Arial" w:hAnsi="Arial" w:cs="Arial"/>
                <w:sz w:val="22"/>
                <w:szCs w:val="22"/>
              </w:rPr>
              <w:t>0.75</w:t>
            </w:r>
          </w:p>
        </w:tc>
        <w:tc>
          <w:tcPr>
            <w:tcW w:w="1620" w:type="dxa"/>
            <w:shd w:val="clear" w:color="auto" w:fill="auto"/>
          </w:tcPr>
          <w:p w:rsidR="00B81D3A" w:rsidRPr="00B81D3A" w:rsidRDefault="00B81D3A" w:rsidP="00B81D3A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D3A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B81D3A" w:rsidRPr="00B81D3A" w:rsidTr="001470DE">
        <w:tc>
          <w:tcPr>
            <w:tcW w:w="2430" w:type="dxa"/>
            <w:shd w:val="clear" w:color="auto" w:fill="auto"/>
          </w:tcPr>
          <w:p w:rsidR="00B81D3A" w:rsidRPr="00B81D3A" w:rsidRDefault="00B81D3A" w:rsidP="00B81D3A">
            <w:pPr>
              <w:tabs>
                <w:tab w:val="left" w:pos="1530"/>
              </w:tabs>
              <w:rPr>
                <w:rFonts w:ascii="Arial" w:hAnsi="Arial" w:cs="Arial"/>
                <w:sz w:val="22"/>
                <w:szCs w:val="22"/>
              </w:rPr>
            </w:pPr>
            <w:r w:rsidRPr="00B81D3A">
              <w:rPr>
                <w:rFonts w:ascii="Arial" w:hAnsi="Arial" w:cs="Arial"/>
                <w:sz w:val="22"/>
                <w:szCs w:val="22"/>
              </w:rPr>
              <w:t>CLABSI (all locations)</w:t>
            </w:r>
          </w:p>
        </w:tc>
        <w:tc>
          <w:tcPr>
            <w:tcW w:w="1530" w:type="dxa"/>
            <w:shd w:val="clear" w:color="auto" w:fill="auto"/>
          </w:tcPr>
          <w:p w:rsidR="00B81D3A" w:rsidRPr="00B81D3A" w:rsidRDefault="00B81D3A" w:rsidP="00B81D3A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D3A"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  <w:tc>
          <w:tcPr>
            <w:tcW w:w="1800" w:type="dxa"/>
            <w:shd w:val="clear" w:color="auto" w:fill="auto"/>
          </w:tcPr>
          <w:p w:rsidR="00B81D3A" w:rsidRPr="00B81D3A" w:rsidRDefault="00B81D3A" w:rsidP="00B81D3A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D3A"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  <w:tc>
          <w:tcPr>
            <w:tcW w:w="1596" w:type="dxa"/>
            <w:shd w:val="clear" w:color="auto" w:fill="auto"/>
          </w:tcPr>
          <w:p w:rsidR="00B81D3A" w:rsidRPr="00B81D3A" w:rsidRDefault="00B81D3A" w:rsidP="00B81D3A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D3A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2184" w:type="dxa"/>
            <w:shd w:val="clear" w:color="auto" w:fill="auto"/>
          </w:tcPr>
          <w:p w:rsidR="00B81D3A" w:rsidRPr="00B81D3A" w:rsidRDefault="00B81D3A" w:rsidP="00B81D3A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D3A">
              <w:rPr>
                <w:rFonts w:ascii="Arial" w:hAnsi="Arial" w:cs="Arial"/>
                <w:sz w:val="22"/>
                <w:szCs w:val="22"/>
              </w:rPr>
              <w:t>0.50</w:t>
            </w:r>
          </w:p>
        </w:tc>
        <w:tc>
          <w:tcPr>
            <w:tcW w:w="1620" w:type="dxa"/>
            <w:shd w:val="clear" w:color="auto" w:fill="auto"/>
          </w:tcPr>
          <w:p w:rsidR="00B81D3A" w:rsidRPr="00B81D3A" w:rsidRDefault="00B81D3A" w:rsidP="00B81D3A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D3A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:rsidR="00B81D3A" w:rsidRPr="00B81D3A" w:rsidRDefault="00B81D3A" w:rsidP="00B81D3A">
      <w:pPr>
        <w:tabs>
          <w:tab w:val="left" w:pos="1530"/>
        </w:tabs>
        <w:rPr>
          <w:szCs w:val="24"/>
        </w:rPr>
      </w:pPr>
    </w:p>
    <w:p w:rsidR="00662DC7" w:rsidRPr="00662DC7" w:rsidRDefault="00F10A37">
      <w:pPr>
        <w:tabs>
          <w:tab w:val="left" w:pos="1530"/>
        </w:tabs>
        <w:rPr>
          <w:sz w:val="22"/>
          <w:szCs w:val="22"/>
        </w:rPr>
      </w:pPr>
      <w:r w:rsidRPr="00662DC7">
        <w:rPr>
          <w:sz w:val="22"/>
          <w:szCs w:val="22"/>
        </w:rPr>
        <w:t xml:space="preserve">* CAD </w:t>
      </w:r>
      <w:r w:rsidR="002B00E7" w:rsidRPr="00662DC7">
        <w:rPr>
          <w:sz w:val="22"/>
          <w:szCs w:val="22"/>
        </w:rPr>
        <w:t xml:space="preserve">is calculated by subtracting </w:t>
      </w:r>
      <w:r w:rsidR="00662DC7" w:rsidRPr="00662DC7">
        <w:rPr>
          <w:sz w:val="22"/>
          <w:szCs w:val="22"/>
        </w:rPr>
        <w:t>the designated</w:t>
      </w:r>
      <w:r w:rsidR="002B00E7" w:rsidRPr="00662DC7">
        <w:rPr>
          <w:sz w:val="22"/>
          <w:szCs w:val="22"/>
        </w:rPr>
        <w:t xml:space="preserve"> prevention target from an observed number of HAIs</w:t>
      </w:r>
      <w:r w:rsidR="00662DC7" w:rsidRPr="00662DC7">
        <w:rPr>
          <w:sz w:val="22"/>
          <w:szCs w:val="22"/>
        </w:rPr>
        <w:t>, and is the number of infections your facility needs to prevent to achieve the national goal during 2015</w:t>
      </w:r>
      <w:r w:rsidR="00F3053D">
        <w:rPr>
          <w:sz w:val="22"/>
          <w:szCs w:val="22"/>
        </w:rPr>
        <w:t>, assuming no changes in the population at risk</w:t>
      </w:r>
      <w:r w:rsidR="00BA4126">
        <w:rPr>
          <w:sz w:val="22"/>
          <w:szCs w:val="22"/>
        </w:rPr>
        <w:t xml:space="preserve"> since 2014</w:t>
      </w:r>
      <w:r w:rsidR="002B00E7" w:rsidRPr="00662DC7">
        <w:rPr>
          <w:sz w:val="22"/>
          <w:szCs w:val="22"/>
        </w:rPr>
        <w:t xml:space="preserve">. </w:t>
      </w:r>
      <w:r w:rsidR="00662DC7" w:rsidRPr="00662DC7">
        <w:rPr>
          <w:sz w:val="22"/>
          <w:szCs w:val="22"/>
        </w:rPr>
        <w:t>The formula is:</w:t>
      </w:r>
    </w:p>
    <w:p w:rsidR="00662DC7" w:rsidRPr="00662DC7" w:rsidRDefault="00662DC7">
      <w:pPr>
        <w:tabs>
          <w:tab w:val="left" w:pos="1530"/>
        </w:tabs>
        <w:rPr>
          <w:sz w:val="22"/>
          <w:szCs w:val="22"/>
        </w:rPr>
      </w:pPr>
    </w:p>
    <w:p w:rsidR="00662DC7" w:rsidRPr="00662DC7" w:rsidRDefault="00662DC7" w:rsidP="00662DC7">
      <w:pPr>
        <w:tabs>
          <w:tab w:val="left" w:pos="1530"/>
        </w:tabs>
        <w:rPr>
          <w:sz w:val="22"/>
          <w:szCs w:val="22"/>
        </w:rPr>
      </w:pPr>
      <w:r w:rsidRPr="00662DC7">
        <w:rPr>
          <w:sz w:val="22"/>
          <w:szCs w:val="22"/>
        </w:rPr>
        <w:t>Number of observed events–(Number of predicted events X national target SIR)</w:t>
      </w:r>
    </w:p>
    <w:p w:rsidR="00662DC7" w:rsidRPr="00662DC7" w:rsidRDefault="00662DC7">
      <w:pPr>
        <w:tabs>
          <w:tab w:val="left" w:pos="1530"/>
        </w:tabs>
        <w:rPr>
          <w:sz w:val="22"/>
          <w:szCs w:val="22"/>
        </w:rPr>
      </w:pPr>
    </w:p>
    <w:p w:rsidR="00662DC7" w:rsidRPr="00662DC7" w:rsidRDefault="00662DC7">
      <w:pPr>
        <w:tabs>
          <w:tab w:val="left" w:pos="1530"/>
        </w:tabs>
        <w:rPr>
          <w:sz w:val="22"/>
          <w:szCs w:val="22"/>
        </w:rPr>
      </w:pPr>
    </w:p>
    <w:p w:rsidR="00F10A37" w:rsidRDefault="00F10A37">
      <w:pPr>
        <w:tabs>
          <w:tab w:val="left" w:pos="1530"/>
        </w:tabs>
        <w:rPr>
          <w:szCs w:val="24"/>
        </w:rPr>
      </w:pPr>
    </w:p>
    <w:p w:rsidR="00F10A37" w:rsidRDefault="00F10A37">
      <w:pPr>
        <w:tabs>
          <w:tab w:val="left" w:pos="1530"/>
        </w:tabs>
        <w:rPr>
          <w:szCs w:val="24"/>
        </w:rPr>
      </w:pPr>
    </w:p>
    <w:p w:rsidR="00F10A37" w:rsidRDefault="00F10A37">
      <w:pPr>
        <w:tabs>
          <w:tab w:val="left" w:pos="1530"/>
        </w:tabs>
        <w:rPr>
          <w:szCs w:val="24"/>
        </w:rPr>
      </w:pPr>
    </w:p>
    <w:p w:rsidR="00F10A37" w:rsidRDefault="00F10A37">
      <w:pPr>
        <w:tabs>
          <w:tab w:val="left" w:pos="1530"/>
        </w:tabs>
        <w:rPr>
          <w:szCs w:val="24"/>
        </w:rPr>
      </w:pPr>
    </w:p>
    <w:p w:rsidR="00F10A37" w:rsidRPr="005652E2" w:rsidRDefault="00F10A37">
      <w:pPr>
        <w:tabs>
          <w:tab w:val="left" w:pos="1530"/>
        </w:tabs>
        <w:rPr>
          <w:szCs w:val="24"/>
        </w:rPr>
      </w:pPr>
    </w:p>
    <w:sectPr w:rsidR="00F10A37" w:rsidRPr="005652E2">
      <w:headerReference w:type="even" r:id="rId7"/>
      <w:headerReference w:type="first" r:id="rId8"/>
      <w:footerReference w:type="first" r:id="rId9"/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F69" w:rsidRDefault="00393F69">
      <w:r>
        <w:separator/>
      </w:r>
    </w:p>
  </w:endnote>
  <w:endnote w:type="continuationSeparator" w:id="0">
    <w:p w:rsidR="00393F69" w:rsidRDefault="0039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165" w:rsidRDefault="001C4165">
    <w:pPr>
      <w:pStyle w:val="Footer"/>
      <w:jc w:val="center"/>
      <w:rPr>
        <w:i/>
      </w:rPr>
    </w:pPr>
    <w:r>
      <w:rPr>
        <w:rFonts w:ascii="Arial" w:hAnsi="Arial"/>
        <w:b/>
        <w:i/>
        <w:sz w:val="20"/>
      </w:rPr>
      <w:t>Wisconsin.gov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F69" w:rsidRDefault="00393F69">
      <w:r>
        <w:separator/>
      </w:r>
    </w:p>
  </w:footnote>
  <w:footnote w:type="continuationSeparator" w:id="0">
    <w:p w:rsidR="00393F69" w:rsidRDefault="00393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165" w:rsidRDefault="001C4165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5541">
      <w:rPr>
        <w:rStyle w:val="PageNumber"/>
        <w:noProof/>
      </w:rPr>
      <w:t>2</w:t>
    </w:r>
    <w:r>
      <w:rPr>
        <w:rStyle w:val="PageNumber"/>
      </w:rPr>
      <w:fldChar w:fldCharType="end"/>
    </w:r>
  </w:p>
  <w:p w:rsidR="001C4165" w:rsidRDefault="001C4165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165" w:rsidRDefault="00393F69">
    <w:pPr>
      <w:pStyle w:val="Header"/>
      <w:tabs>
        <w:tab w:val="clear" w:pos="4320"/>
        <w:tab w:val="clear" w:pos="8640"/>
        <w:tab w:val="center" w:pos="4590"/>
        <w:tab w:val="right" w:pos="9990"/>
      </w:tabs>
      <w:spacing w:line="220" w:lineRule="exact"/>
      <w:ind w:left="-720" w:right="7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3474720</wp:posOffset>
              </wp:positionH>
              <wp:positionV relativeFrom="page">
                <wp:posOffset>429895</wp:posOffset>
              </wp:positionV>
              <wp:extent cx="730250" cy="72644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0250" cy="726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C4165" w:rsidRDefault="00393F69" w:rsidP="004B1BA5">
                          <w:pPr>
                            <w:ind w:left="90" w:right="-108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3900" cy="723900"/>
                                <wp:effectExtent l="0" t="0" r="0" b="0"/>
                                <wp:docPr id="2" name="Picture 1" descr="State of Wisconsin logo" title="State of Wisconsin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273.6pt;margin-top:33.85pt;width:57.5pt;height:57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h73gIAAF0GAAAOAAAAZHJzL2Uyb0RvYy54bWysVW1v0zAQ/o7Ef7D8PUvSpk0aLUVtXhDS&#10;gInBD3ATp7FI7GC7Swfiv3N22q7dQEKMfojO9vn8PPfcXa/f7LsW3VOpmOAJ9q88jCgvRcX4NsFf&#10;PhdOhJHShFekFZwm+IEq/Gb5+tX10Md0IhrRVlQiCMJVPPQJbrTuY9dVZUM7oq5ETzkc1kJ2RMNS&#10;bt1KkgGid6078by5OwhZ9VKUVCnYzcZDvLTx65qW+mNdK6pRm2DApu1X2u/GfN3lNYm3kvQNKw8w&#10;yD+g6Ajj8OgpVEY0QTvJnoXqWCmFErW+KkXnirpmJbUcgI3vPWFz15CeWi6QHNWf0qT+X9jyw/2t&#10;RKwC7TDipAOJPkHSCN+2FPkmPUOvYvC662+lIaj6G1F+VYiLtAEvupJSDA0lFYCy/u7FBbNQcBVt&#10;hveiguhkp4XN1L6WnQkIOUB7K8jDSRC616iEzXDqTWYgWwlH4WQeBFYwl8THy71U+i0VHTJGgiVA&#10;t8HJ/Y3SAB5cjy7mLS4K1rZW85ZfbIDjuENt0Yy3SQxAwDSeBpIV9MfCW+RRHgVOMJnnTuBlmbMq&#10;0sCZF344y6ZZmmb+T4PCD+KGVRXl5tFjcfnB34l3KPOxLE7lpUTLKhPOQFJyu0lbie4JFHdhf0Yw&#10;oHLm5l7CsMfA5QklfxJ468nCKeZR6ARFMHMWoRc5nr9YL+ZesAiy4pLSDeP05ZTQYCS3XP5IzLO/&#10;58RI3DENs6NlXYKjkxOJTTHmvLIqa8La0T7Lg8H++zysipkXBtPICcPZ1AmmueesoyJ1Vqk/n4f5&#10;Ol3nT6TNbbmol6fCCnJWe2d4D288QgaFj4Vpu8002Nioer/ZA3HTdRtRPUDfSQF9AS0EMxqMRsjv&#10;GA0w7xKsvu2IpBi17zj0rhmOR0Mejc3RILyEqwnWGI1mqschuusl2zYQ2bcycrGC/q6Z7b1HFADd&#10;LGCGWRKHeWuG5Pnaej3+Kyx/AQAA//8DAFBLAwQUAAYACAAAACEA/9e51d4AAAAKAQAADwAAAGRy&#10;cy9kb3ducmV2LnhtbEyPwU6EMBCG7ya+QzMm3tyyRMuKlI1ZQqI3Xb1469IRiLSFtgv49o4nPc7M&#10;l3++v9ivZmAz+tA7K2G7SYChbZzubSvh/a2+2QELUVmtBmdRwjcG2JeXF4XKtVvsK87H2DIKsSFX&#10;EroYx5zz0HRoVNi4ES3dPp03KtLoW669WijcDDxNEsGN6i196NSIhw6br+PZSKi80HU4PFX1/cdS&#10;xeeXaZ74JOX11fr4ACziGv9g+NUndSjJ6eTOVgc2SLi7zVJCJYgsA0aAECktTkTu0i3wsuD/K5Q/&#10;AAAA//8DAFBLAQItABQABgAIAAAAIQC2gziS/gAAAOEBAAATAAAAAAAAAAAAAAAAAAAAAABbQ29u&#10;dGVudF9UeXBlc10ueG1sUEsBAi0AFAAGAAgAAAAhADj9If/WAAAAlAEAAAsAAAAAAAAAAAAAAAAA&#10;LwEAAF9yZWxzLy5yZWxzUEsBAi0AFAAGAAgAAAAhAHIQyHveAgAAXQYAAA4AAAAAAAAAAAAAAAAA&#10;LgIAAGRycy9lMm9Eb2MueG1sUEsBAi0AFAAGAAgAAAAhAP/XudXeAAAACgEAAA8AAAAAAAAAAAAA&#10;AAAAOAUAAGRycy9kb3ducmV2LnhtbFBLBQYAAAAABAAEAPMAAABDBgAAAAA=&#10;" o:allowincell="f" filled="f" stroked="f" strokeweight="0">
              <v:textbox inset="0,0,0,0">
                <w:txbxContent>
                  <w:p w:rsidR="001C4165" w:rsidRDefault="00393F69" w:rsidP="004B1BA5">
                    <w:pPr>
                      <w:ind w:left="90" w:right="-108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723900" cy="723900"/>
                          <wp:effectExtent l="0" t="0" r="0" b="0"/>
                          <wp:docPr id="2" name="Picture 1" descr="State of Wisconsin logo" title="State of Wisconsin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1C4165">
      <w:tab/>
    </w:r>
    <w:r w:rsidR="001C4165">
      <w:tab/>
    </w:r>
    <w:r w:rsidR="001C4165">
      <w:rPr>
        <w:rFonts w:ascii="Helvetica" w:hAnsi="Helvetica"/>
        <w:b/>
        <w:sz w:val="14"/>
      </w:rPr>
      <w:t>DIVISION OF PUBLIC HEALTH</w:t>
    </w:r>
  </w:p>
  <w:p w:rsidR="001C4165" w:rsidRDefault="001C4165">
    <w:pPr>
      <w:pStyle w:val="Header"/>
      <w:tabs>
        <w:tab w:val="clear" w:pos="4320"/>
        <w:tab w:val="clear" w:pos="8640"/>
        <w:tab w:val="center" w:pos="4590"/>
        <w:tab w:val="right" w:pos="9990"/>
      </w:tabs>
      <w:ind w:left="-720" w:right="720"/>
    </w:pPr>
    <w:r>
      <w:tab/>
    </w:r>
    <w:r>
      <w:tab/>
    </w:r>
  </w:p>
  <w:p w:rsidR="001C4165" w:rsidRPr="00E77EBE" w:rsidRDefault="001C4165">
    <w:pPr>
      <w:pStyle w:val="Header"/>
      <w:tabs>
        <w:tab w:val="clear" w:pos="4320"/>
        <w:tab w:val="clear" w:pos="8640"/>
        <w:tab w:val="center" w:pos="4590"/>
        <w:tab w:val="right" w:pos="9990"/>
      </w:tabs>
      <w:ind w:left="-720" w:right="720"/>
      <w:rPr>
        <w:rFonts w:ascii="Arial" w:hAnsi="Arial" w:cs="Arial"/>
        <w:sz w:val="14"/>
        <w:szCs w:val="14"/>
      </w:rPr>
    </w:pPr>
    <w:r>
      <w:tab/>
    </w:r>
    <w:r>
      <w:rPr>
        <w:rFonts w:ascii="Helvetica" w:hAnsi="Helvetica"/>
        <w:sz w:val="14"/>
      </w:rPr>
      <w:tab/>
    </w:r>
    <w:r w:rsidRPr="00E77EBE">
      <w:rPr>
        <w:rFonts w:ascii="Arial" w:hAnsi="Arial" w:cs="Arial"/>
        <w:sz w:val="14"/>
        <w:szCs w:val="14"/>
      </w:rPr>
      <w:t>1 WEST WILSON STREET</w:t>
    </w:r>
  </w:p>
  <w:p w:rsidR="001C4165" w:rsidRPr="00E77EBE" w:rsidRDefault="001C4165">
    <w:pPr>
      <w:pStyle w:val="Header"/>
      <w:tabs>
        <w:tab w:val="clear" w:pos="4320"/>
        <w:tab w:val="clear" w:pos="8640"/>
        <w:tab w:val="center" w:pos="4590"/>
        <w:tab w:val="right" w:pos="9990"/>
      </w:tabs>
      <w:ind w:left="-720" w:right="720"/>
      <w:rPr>
        <w:rFonts w:ascii="Arial" w:hAnsi="Arial" w:cs="Arial"/>
        <w:sz w:val="14"/>
        <w:szCs w:val="14"/>
      </w:rPr>
    </w:pPr>
    <w:r w:rsidRPr="00E77EBE">
      <w:rPr>
        <w:rFonts w:ascii="Arial" w:hAnsi="Arial" w:cs="Arial"/>
        <w:sz w:val="16"/>
        <w:szCs w:val="16"/>
      </w:rPr>
      <w:tab/>
    </w:r>
    <w:r w:rsidRPr="00E77EBE">
      <w:rPr>
        <w:rFonts w:ascii="Arial" w:hAnsi="Arial" w:cs="Arial"/>
        <w:sz w:val="16"/>
        <w:szCs w:val="16"/>
      </w:rPr>
      <w:tab/>
    </w:r>
    <w:r w:rsidRPr="00E77EBE">
      <w:rPr>
        <w:rFonts w:ascii="Arial" w:hAnsi="Arial" w:cs="Arial"/>
        <w:sz w:val="14"/>
        <w:szCs w:val="14"/>
      </w:rPr>
      <w:t>P O BOX 2659</w:t>
    </w:r>
  </w:p>
  <w:p w:rsidR="001C4165" w:rsidRPr="00E77EBE" w:rsidRDefault="001C4165">
    <w:pPr>
      <w:pStyle w:val="Header"/>
      <w:tabs>
        <w:tab w:val="clear" w:pos="4320"/>
        <w:tab w:val="clear" w:pos="8640"/>
        <w:tab w:val="center" w:pos="4590"/>
        <w:tab w:val="right" w:pos="9990"/>
      </w:tabs>
      <w:spacing w:line="200" w:lineRule="exact"/>
      <w:ind w:left="-720" w:right="720"/>
      <w:rPr>
        <w:rFonts w:ascii="Arial" w:hAnsi="Arial" w:cs="Arial"/>
        <w:sz w:val="14"/>
        <w:szCs w:val="14"/>
      </w:rPr>
    </w:pPr>
    <w:r w:rsidRPr="00E77EBE">
      <w:rPr>
        <w:rFonts w:ascii="Arial" w:hAnsi="Arial" w:cs="Arial"/>
        <w:sz w:val="16"/>
        <w:szCs w:val="16"/>
      </w:rPr>
      <w:t>Scott Walker</w:t>
    </w:r>
    <w:r w:rsidRPr="00E77EBE">
      <w:rPr>
        <w:rFonts w:ascii="Arial" w:hAnsi="Arial" w:cs="Arial"/>
        <w:sz w:val="16"/>
        <w:szCs w:val="16"/>
      </w:rPr>
      <w:tab/>
    </w:r>
    <w:r w:rsidRPr="00E77EBE">
      <w:rPr>
        <w:rFonts w:ascii="Arial" w:hAnsi="Arial" w:cs="Arial"/>
        <w:sz w:val="16"/>
        <w:szCs w:val="16"/>
      </w:rPr>
      <w:tab/>
    </w:r>
    <w:proofErr w:type="gramStart"/>
    <w:r w:rsidRPr="00E77EBE">
      <w:rPr>
        <w:rFonts w:ascii="Arial" w:hAnsi="Arial" w:cs="Arial"/>
        <w:sz w:val="14"/>
        <w:szCs w:val="14"/>
      </w:rPr>
      <w:t>MADISON  WI</w:t>
    </w:r>
    <w:proofErr w:type="gramEnd"/>
    <w:r w:rsidRPr="00E77EBE">
      <w:rPr>
        <w:rFonts w:ascii="Arial" w:hAnsi="Arial" w:cs="Arial"/>
        <w:sz w:val="14"/>
        <w:szCs w:val="14"/>
      </w:rPr>
      <w:t xml:space="preserve">  53701-2659</w:t>
    </w:r>
  </w:p>
  <w:p w:rsidR="001C4165" w:rsidRDefault="001C4165">
    <w:pPr>
      <w:pStyle w:val="Header"/>
      <w:tabs>
        <w:tab w:val="clear" w:pos="4320"/>
        <w:tab w:val="clear" w:pos="8640"/>
        <w:tab w:val="center" w:pos="4590"/>
        <w:tab w:val="right" w:pos="9990"/>
      </w:tabs>
      <w:spacing w:line="200" w:lineRule="exact"/>
      <w:ind w:left="-720" w:right="720"/>
      <w:rPr>
        <w:rFonts w:ascii="Arial" w:hAnsi="Arial"/>
        <w:sz w:val="16"/>
      </w:rPr>
    </w:pPr>
    <w:r w:rsidRPr="001D1E82">
      <w:rPr>
        <w:rFonts w:ascii="Arial" w:hAnsi="Arial" w:cs="Arial"/>
        <w:sz w:val="16"/>
        <w:szCs w:val="16"/>
      </w:rPr>
      <w:t>Governor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  <w:p w:rsidR="001C4165" w:rsidRDefault="001C4165" w:rsidP="00500E47">
    <w:pPr>
      <w:pStyle w:val="Header"/>
      <w:tabs>
        <w:tab w:val="clear" w:pos="4320"/>
        <w:tab w:val="clear" w:pos="8640"/>
        <w:tab w:val="center" w:pos="4680"/>
        <w:tab w:val="right" w:pos="9990"/>
      </w:tabs>
      <w:spacing w:line="200" w:lineRule="exact"/>
      <w:ind w:left="-720" w:right="720"/>
      <w:rPr>
        <w:rFonts w:ascii="Helvetica" w:hAnsi="Helvetica"/>
        <w:sz w:val="14"/>
      </w:rPr>
    </w:pPr>
    <w:r>
      <w:rPr>
        <w:rFonts w:ascii="Helvetica" w:hAnsi="Helvetica"/>
        <w:sz w:val="14"/>
      </w:rPr>
      <w:tab/>
    </w:r>
    <w:r>
      <w:rPr>
        <w:rFonts w:ascii="Helvetica" w:hAnsi="Helvetica"/>
        <w:b/>
        <w:sz w:val="22"/>
      </w:rPr>
      <w:t>State of Wisconsin</w:t>
    </w:r>
    <w:r>
      <w:rPr>
        <w:rFonts w:ascii="Helvetica" w:hAnsi="Helvetica"/>
        <w:sz w:val="14"/>
      </w:rPr>
      <w:tab/>
      <w:t>608-266-1251</w:t>
    </w:r>
  </w:p>
  <w:p w:rsidR="001C4165" w:rsidRDefault="001C4165" w:rsidP="00500E47">
    <w:pPr>
      <w:pStyle w:val="Header"/>
      <w:tabs>
        <w:tab w:val="clear" w:pos="4320"/>
        <w:tab w:val="clear" w:pos="8640"/>
        <w:tab w:val="center" w:pos="4680"/>
        <w:tab w:val="right" w:pos="9990"/>
      </w:tabs>
      <w:spacing w:line="200" w:lineRule="exact"/>
      <w:ind w:left="-720" w:right="720"/>
      <w:rPr>
        <w:rFonts w:ascii="Helvetica" w:hAnsi="Helvetica"/>
        <w:sz w:val="14"/>
      </w:rPr>
    </w:pPr>
    <w:r>
      <w:rPr>
        <w:rFonts w:ascii="Arial" w:hAnsi="Arial" w:cs="Arial"/>
        <w:spacing w:val="6"/>
        <w:sz w:val="16"/>
        <w:szCs w:val="16"/>
      </w:rPr>
      <w:t>Kitty Rhoades</w:t>
    </w:r>
    <w:r>
      <w:rPr>
        <w:rFonts w:ascii="Helvetica" w:hAnsi="Helvetica"/>
        <w:sz w:val="14"/>
      </w:rPr>
      <w:tab/>
    </w:r>
    <w:r>
      <w:rPr>
        <w:rFonts w:ascii="Helvetica" w:hAnsi="Helvetica"/>
        <w:sz w:val="14"/>
      </w:rPr>
      <w:tab/>
      <w:t>FAX:  608-267-2832</w:t>
    </w:r>
  </w:p>
  <w:p w:rsidR="001C4165" w:rsidRDefault="001C4165" w:rsidP="00500E47">
    <w:pPr>
      <w:pStyle w:val="Header"/>
      <w:tabs>
        <w:tab w:val="clear" w:pos="4320"/>
        <w:tab w:val="clear" w:pos="8640"/>
        <w:tab w:val="center" w:pos="4680"/>
        <w:tab w:val="right" w:pos="9990"/>
      </w:tabs>
      <w:spacing w:line="200" w:lineRule="exact"/>
      <w:ind w:left="-720" w:right="720"/>
      <w:rPr>
        <w:rFonts w:ascii="Helvetica" w:hAnsi="Helvetica"/>
        <w:sz w:val="14"/>
      </w:rPr>
    </w:pPr>
    <w:r>
      <w:rPr>
        <w:rFonts w:ascii="Arial" w:hAnsi="Arial"/>
        <w:sz w:val="16"/>
      </w:rPr>
      <w:t>Secretary</w:t>
    </w:r>
    <w:r>
      <w:rPr>
        <w:rFonts w:ascii="Helvetica" w:hAnsi="Helvetica"/>
        <w:sz w:val="14"/>
      </w:rPr>
      <w:tab/>
    </w:r>
    <w:r>
      <w:rPr>
        <w:rFonts w:ascii="Helvetica" w:hAnsi="Helvetica"/>
        <w:sz w:val="14"/>
      </w:rPr>
      <w:tab/>
      <w:t>TTY:  888-701-1253</w:t>
    </w:r>
  </w:p>
  <w:p w:rsidR="001C4165" w:rsidRDefault="001C4165" w:rsidP="00500E47">
    <w:pPr>
      <w:pStyle w:val="Header"/>
      <w:tabs>
        <w:tab w:val="clear" w:pos="4320"/>
        <w:tab w:val="clear" w:pos="8640"/>
        <w:tab w:val="center" w:pos="4680"/>
        <w:tab w:val="right" w:pos="9990"/>
      </w:tabs>
      <w:spacing w:line="200" w:lineRule="exact"/>
      <w:ind w:left="-720" w:right="720"/>
      <w:rPr>
        <w:rFonts w:ascii="Helvetica" w:hAnsi="Helvetica"/>
        <w:sz w:val="14"/>
      </w:rPr>
    </w:pPr>
    <w:r>
      <w:rPr>
        <w:rFonts w:ascii="Helvetica" w:hAnsi="Helvetica"/>
        <w:sz w:val="14"/>
      </w:rPr>
      <w:tab/>
    </w:r>
    <w:r>
      <w:rPr>
        <w:rFonts w:ascii="Helvetica" w:hAnsi="Helvetica"/>
        <w:sz w:val="22"/>
      </w:rPr>
      <w:t>Department of Health Services</w:t>
    </w:r>
    <w:r>
      <w:rPr>
        <w:rFonts w:ascii="Helvetica" w:hAnsi="Helvetica"/>
        <w:sz w:val="14"/>
      </w:rPr>
      <w:tab/>
      <w:t xml:space="preserve"> </w:t>
    </w:r>
    <w:r>
      <w:rPr>
        <w:rFonts w:ascii="Arial" w:hAnsi="Arial"/>
        <w:sz w:val="16"/>
      </w:rPr>
      <w:t>dhs.wisconsin.gov</w:t>
    </w:r>
  </w:p>
  <w:p w:rsidR="001C4165" w:rsidRDefault="001C4165" w:rsidP="00500E47">
    <w:pPr>
      <w:pStyle w:val="Header"/>
      <w:tabs>
        <w:tab w:val="clear" w:pos="4320"/>
        <w:tab w:val="clear" w:pos="8640"/>
        <w:tab w:val="center" w:pos="4680"/>
        <w:tab w:val="center" w:pos="5310"/>
        <w:tab w:val="right" w:pos="10080"/>
        <w:tab w:val="right" w:pos="10890"/>
      </w:tabs>
      <w:spacing w:line="180" w:lineRule="exact"/>
      <w:ind w:left="-720" w:right="720"/>
      <w:rPr>
        <w:rFonts w:ascii="Helvetica" w:hAnsi="Helvetica"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D36B6"/>
    <w:multiLevelType w:val="hybridMultilevel"/>
    <w:tmpl w:val="38F44F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A4"/>
    <w:rsid w:val="00007FFC"/>
    <w:rsid w:val="00012038"/>
    <w:rsid w:val="00044AE9"/>
    <w:rsid w:val="00044F04"/>
    <w:rsid w:val="00091D51"/>
    <w:rsid w:val="00092F63"/>
    <w:rsid w:val="00153186"/>
    <w:rsid w:val="00190C1C"/>
    <w:rsid w:val="0019151D"/>
    <w:rsid w:val="001B097D"/>
    <w:rsid w:val="001C4165"/>
    <w:rsid w:val="001D1E82"/>
    <w:rsid w:val="001F5992"/>
    <w:rsid w:val="00201B17"/>
    <w:rsid w:val="00222B9A"/>
    <w:rsid w:val="00240259"/>
    <w:rsid w:val="002668CC"/>
    <w:rsid w:val="00270676"/>
    <w:rsid w:val="002B00E7"/>
    <w:rsid w:val="002B47D4"/>
    <w:rsid w:val="00334382"/>
    <w:rsid w:val="00334B8C"/>
    <w:rsid w:val="00393F69"/>
    <w:rsid w:val="003A4BC5"/>
    <w:rsid w:val="003A5AA7"/>
    <w:rsid w:val="003B3349"/>
    <w:rsid w:val="003B7C33"/>
    <w:rsid w:val="003E22EB"/>
    <w:rsid w:val="003F32A4"/>
    <w:rsid w:val="00441A05"/>
    <w:rsid w:val="00465837"/>
    <w:rsid w:val="004B1BA5"/>
    <w:rsid w:val="004E6F27"/>
    <w:rsid w:val="004F6DBB"/>
    <w:rsid w:val="005000BF"/>
    <w:rsid w:val="00500E47"/>
    <w:rsid w:val="00515540"/>
    <w:rsid w:val="005170CD"/>
    <w:rsid w:val="00517362"/>
    <w:rsid w:val="005543C7"/>
    <w:rsid w:val="005652E2"/>
    <w:rsid w:val="00565B27"/>
    <w:rsid w:val="00567CC3"/>
    <w:rsid w:val="005836C7"/>
    <w:rsid w:val="00606DB6"/>
    <w:rsid w:val="006253A4"/>
    <w:rsid w:val="006303CC"/>
    <w:rsid w:val="0063317E"/>
    <w:rsid w:val="00642845"/>
    <w:rsid w:val="00662DC7"/>
    <w:rsid w:val="00666BB5"/>
    <w:rsid w:val="006D3208"/>
    <w:rsid w:val="00713AFB"/>
    <w:rsid w:val="00714397"/>
    <w:rsid w:val="007210B7"/>
    <w:rsid w:val="00721BBC"/>
    <w:rsid w:val="00743D3C"/>
    <w:rsid w:val="007E0A63"/>
    <w:rsid w:val="007E5FD7"/>
    <w:rsid w:val="007F4B9B"/>
    <w:rsid w:val="007F5195"/>
    <w:rsid w:val="008725D9"/>
    <w:rsid w:val="0087595A"/>
    <w:rsid w:val="00876349"/>
    <w:rsid w:val="008B77FD"/>
    <w:rsid w:val="009613D4"/>
    <w:rsid w:val="0097543D"/>
    <w:rsid w:val="009C791B"/>
    <w:rsid w:val="009F136B"/>
    <w:rsid w:val="009F35AF"/>
    <w:rsid w:val="00A24DF0"/>
    <w:rsid w:val="00A85541"/>
    <w:rsid w:val="00AA6F56"/>
    <w:rsid w:val="00AF2A97"/>
    <w:rsid w:val="00B348B9"/>
    <w:rsid w:val="00B537B3"/>
    <w:rsid w:val="00B81D3A"/>
    <w:rsid w:val="00BA4126"/>
    <w:rsid w:val="00BB3063"/>
    <w:rsid w:val="00BF2BA1"/>
    <w:rsid w:val="00C50DA6"/>
    <w:rsid w:val="00C869C2"/>
    <w:rsid w:val="00CE2CB6"/>
    <w:rsid w:val="00D5119C"/>
    <w:rsid w:val="00DC3E9B"/>
    <w:rsid w:val="00E02514"/>
    <w:rsid w:val="00E15D24"/>
    <w:rsid w:val="00E26CCA"/>
    <w:rsid w:val="00E31394"/>
    <w:rsid w:val="00E33A5C"/>
    <w:rsid w:val="00E5249A"/>
    <w:rsid w:val="00E7252E"/>
    <w:rsid w:val="00E77EBE"/>
    <w:rsid w:val="00ED5A59"/>
    <w:rsid w:val="00F10A37"/>
    <w:rsid w:val="00F112A7"/>
    <w:rsid w:val="00F13D06"/>
    <w:rsid w:val="00F169CD"/>
    <w:rsid w:val="00F3053D"/>
    <w:rsid w:val="00F3240B"/>
    <w:rsid w:val="00F64B61"/>
    <w:rsid w:val="00F722C0"/>
    <w:rsid w:val="00FA00E2"/>
    <w:rsid w:val="00FB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764A0148-1560-4B2C-AA9E-4F91E4BD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5543C7"/>
    <w:rPr>
      <w:color w:val="0000FF"/>
      <w:u w:val="single"/>
    </w:rPr>
  </w:style>
  <w:style w:type="table" w:styleId="TableGrid">
    <w:name w:val="Table Grid"/>
    <w:basedOn w:val="TableNormal"/>
    <w:rsid w:val="003A5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0A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81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1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Health - 1 West Wilson</vt:lpstr>
    </vt:vector>
  </TitlesOfParts>
  <Company>DPH</Company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Health - 1 West Wilson</dc:title>
  <dc:creator>Borlaug, Gwen M.</dc:creator>
  <cp:keywords>letterhead, dph, f-40081a</cp:keywords>
  <dc:description>TTy number added 09 06</dc:description>
  <cp:lastModifiedBy>McCray, Randy (CDC/OID/NCEZID) (CTR)</cp:lastModifiedBy>
  <cp:revision>2</cp:revision>
  <cp:lastPrinted>2015-07-02T17:33:00Z</cp:lastPrinted>
  <dcterms:created xsi:type="dcterms:W3CDTF">2015-07-15T20:29:00Z</dcterms:created>
  <dcterms:modified xsi:type="dcterms:W3CDTF">2015-07-15T20:29:00Z</dcterms:modified>
</cp:coreProperties>
</file>