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55" w:rsidRPr="00D641DB" w:rsidRDefault="00D641DB" w:rsidP="00D641DB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D641DB">
        <w:rPr>
          <w:b/>
          <w:sz w:val="28"/>
          <w:szCs w:val="28"/>
        </w:rPr>
        <w:t>Assessment of Appropriateness of Inpatient Antibiotics</w:t>
      </w:r>
    </w:p>
    <w:p w:rsidR="00D641DB" w:rsidRPr="00A46039" w:rsidRDefault="00D641DB" w:rsidP="00D641DB">
      <w:pPr>
        <w:pStyle w:val="NoSpacing"/>
        <w:pBdr>
          <w:bottom w:val="single" w:sz="6" w:space="1" w:color="auto"/>
        </w:pBdr>
        <w:rPr>
          <w:sz w:val="18"/>
          <w:szCs w:val="18"/>
        </w:rPr>
      </w:pPr>
    </w:p>
    <w:p w:rsidR="00D641DB" w:rsidRDefault="00D641DB" w:rsidP="00D641DB">
      <w:pPr>
        <w:pStyle w:val="NoSpacing"/>
      </w:pPr>
    </w:p>
    <w:p w:rsidR="00D641DB" w:rsidRDefault="00D641DB" w:rsidP="00D641DB">
      <w:pPr>
        <w:pStyle w:val="NoSpacing"/>
        <w:sectPr w:rsidR="00D641DB" w:rsidSect="00D641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641DB" w:rsidRPr="00D641DB" w:rsidRDefault="00EE2750" w:rsidP="00EE2750">
      <w:pPr>
        <w:pStyle w:val="NoSpacing"/>
        <w:tabs>
          <w:tab w:val="left" w:pos="360"/>
          <w:tab w:val="right" w:leader="underscore" w:pos="5040"/>
        </w:tabs>
      </w:pPr>
      <w:r>
        <w:lastRenderedPageBreak/>
        <w:t>1.</w:t>
      </w:r>
      <w:r>
        <w:tab/>
      </w:r>
      <w:r w:rsidR="00D641DB">
        <w:t xml:space="preserve">Date: </w:t>
      </w:r>
      <w:r w:rsidR="00D641DB">
        <w:tab/>
      </w:r>
    </w:p>
    <w:p w:rsidR="00D641DB" w:rsidRPr="00D641DB" w:rsidRDefault="00EE2750" w:rsidP="00EE2750">
      <w:pPr>
        <w:pStyle w:val="NoSpacing"/>
        <w:tabs>
          <w:tab w:val="left" w:pos="360"/>
          <w:tab w:val="left" w:pos="1440"/>
          <w:tab w:val="left" w:pos="2880"/>
          <w:tab w:val="right" w:leader="underscore" w:pos="5040"/>
        </w:tabs>
      </w:pPr>
      <w:r>
        <w:tab/>
      </w:r>
      <w:r w:rsidR="00D641DB" w:rsidRPr="00D641DB">
        <w:t xml:space="preserve">Gender:  </w:t>
      </w:r>
      <w:r w:rsidR="004D01D5">
        <w:tab/>
      </w:r>
      <w:r w:rsidR="00D641DB" w:rsidRPr="00D641DB">
        <w:t>Male</w:t>
      </w:r>
      <w:r w:rsidR="004D01D5">
        <w:tab/>
      </w:r>
      <w:r w:rsidR="00D641DB" w:rsidRPr="00D641DB">
        <w:t>Female</w:t>
      </w:r>
    </w:p>
    <w:p w:rsidR="00D641DB" w:rsidRPr="00D641DB" w:rsidRDefault="00EE2750" w:rsidP="00EE2750">
      <w:pPr>
        <w:pStyle w:val="NoSpacing"/>
        <w:tabs>
          <w:tab w:val="left" w:pos="360"/>
          <w:tab w:val="right" w:leader="underscore" w:pos="5040"/>
        </w:tabs>
      </w:pPr>
      <w:r>
        <w:tab/>
      </w:r>
      <w:r w:rsidR="00D641DB">
        <w:t xml:space="preserve">Age: </w:t>
      </w:r>
      <w:r w:rsidR="00D641DB">
        <w:tab/>
      </w:r>
    </w:p>
    <w:p w:rsidR="00D641DB" w:rsidRPr="00D641DB" w:rsidRDefault="00EE2750" w:rsidP="00EE2750">
      <w:pPr>
        <w:pStyle w:val="NoSpacing"/>
        <w:tabs>
          <w:tab w:val="left" w:pos="360"/>
          <w:tab w:val="right" w:leader="underscore" w:pos="5040"/>
        </w:tabs>
      </w:pPr>
      <w:r>
        <w:tab/>
      </w:r>
      <w:r w:rsidR="00D641DB" w:rsidRPr="00D641DB">
        <w:t xml:space="preserve">Service: </w:t>
      </w:r>
      <w:r w:rsidR="00D641DB">
        <w:tab/>
      </w:r>
    </w:p>
    <w:p w:rsidR="00D641DB" w:rsidRPr="00D641DB" w:rsidRDefault="00EE2750" w:rsidP="00EE2750">
      <w:pPr>
        <w:pStyle w:val="NoSpacing"/>
        <w:tabs>
          <w:tab w:val="left" w:pos="360"/>
          <w:tab w:val="right" w:leader="underscore" w:pos="5040"/>
        </w:tabs>
      </w:pPr>
      <w:r>
        <w:tab/>
      </w:r>
      <w:r w:rsidR="00D641DB">
        <w:t xml:space="preserve">Antibiotic: </w:t>
      </w:r>
      <w:r w:rsidR="00D641DB">
        <w:tab/>
      </w:r>
    </w:p>
    <w:p w:rsidR="00D641DB" w:rsidRDefault="00D641DB" w:rsidP="00D641DB">
      <w:pPr>
        <w:pStyle w:val="NoSpacing"/>
      </w:pPr>
    </w:p>
    <w:p w:rsidR="00D641DB" w:rsidRDefault="00D641DB" w:rsidP="00D641DB">
      <w:pPr>
        <w:pStyle w:val="NoSpacing"/>
      </w:pPr>
      <w:r w:rsidRPr="00D641DB">
        <w:t>2. Was an indication</w:t>
      </w:r>
      <w:r>
        <w:t xml:space="preserve"> for antibiotic use documented?</w:t>
      </w:r>
    </w:p>
    <w:p w:rsidR="004D01D5" w:rsidRPr="00D641DB" w:rsidRDefault="004D01D5" w:rsidP="00D641DB">
      <w:pPr>
        <w:pStyle w:val="NoSpacing"/>
      </w:pPr>
    </w:p>
    <w:p w:rsidR="00D641DB" w:rsidRPr="00D641DB" w:rsidRDefault="00D641DB" w:rsidP="00D641DB">
      <w:pPr>
        <w:pStyle w:val="NoSpacing"/>
      </w:pPr>
      <w:r w:rsidRPr="00D641DB">
        <w:tab/>
        <w:t xml:space="preserve">A. If </w:t>
      </w:r>
      <w:proofErr w:type="gramStart"/>
      <w:r w:rsidRPr="00D641DB">
        <w:rPr>
          <w:b/>
          <w:bCs/>
        </w:rPr>
        <w:t>Yes</w:t>
      </w:r>
      <w:proofErr w:type="gramEnd"/>
      <w:r w:rsidRPr="00D641DB">
        <w:t>, please document the indication below:</w:t>
      </w:r>
    </w:p>
    <w:p w:rsidR="00D641DB" w:rsidRPr="00D641DB" w:rsidRDefault="00D641DB" w:rsidP="00D641DB">
      <w:pPr>
        <w:pStyle w:val="NoSpacing"/>
      </w:pPr>
      <w:r w:rsidRPr="00D641DB">
        <w:tab/>
        <w:t>_______________________________________________________</w:t>
      </w:r>
    </w:p>
    <w:p w:rsidR="00D641DB" w:rsidRPr="00D641DB" w:rsidRDefault="00D641DB" w:rsidP="00D641DB">
      <w:pPr>
        <w:pStyle w:val="NoSpacing"/>
      </w:pPr>
    </w:p>
    <w:p w:rsidR="00D641DB" w:rsidRDefault="00D641DB" w:rsidP="00D641DB">
      <w:pPr>
        <w:pStyle w:val="NoSpacing"/>
      </w:pPr>
      <w:r w:rsidRPr="00D641DB">
        <w:t>3. Were cultures collected?</w:t>
      </w:r>
    </w:p>
    <w:p w:rsidR="004D01D5" w:rsidRPr="00D641DB" w:rsidRDefault="004D01D5" w:rsidP="00D641DB">
      <w:pPr>
        <w:pStyle w:val="NoSpacing"/>
      </w:pPr>
    </w:p>
    <w:p w:rsidR="00D641DB" w:rsidRPr="00D641DB" w:rsidRDefault="00D641DB" w:rsidP="00D641DB">
      <w:pPr>
        <w:pStyle w:val="NoSpacing"/>
      </w:pPr>
      <w:r w:rsidRPr="00D641DB">
        <w:tab/>
        <w:t xml:space="preserve">A. If </w:t>
      </w:r>
      <w:proofErr w:type="gramStart"/>
      <w:r w:rsidRPr="00D641DB">
        <w:rPr>
          <w:b/>
          <w:bCs/>
        </w:rPr>
        <w:t>Yes</w:t>
      </w:r>
      <w:proofErr w:type="gramEnd"/>
      <w:r w:rsidRPr="00D641DB">
        <w:t>, please document what site(s) or body fluid(s) was cultured.</w:t>
      </w:r>
    </w:p>
    <w:p w:rsidR="00D641DB" w:rsidRPr="00D641DB" w:rsidRDefault="00D641DB" w:rsidP="00D641DB">
      <w:pPr>
        <w:pStyle w:val="NoSpacing"/>
      </w:pPr>
      <w:r w:rsidRPr="00D641DB">
        <w:tab/>
        <w:t>_______________________________________________________</w:t>
      </w:r>
    </w:p>
    <w:p w:rsidR="004D01D5" w:rsidRDefault="004D01D5" w:rsidP="00D641DB">
      <w:pPr>
        <w:pStyle w:val="NoSpacing"/>
      </w:pPr>
    </w:p>
    <w:p w:rsidR="00D641DB" w:rsidRPr="00D641DB" w:rsidRDefault="00D641DB" w:rsidP="00D641DB">
      <w:pPr>
        <w:pStyle w:val="NoSpacing"/>
      </w:pPr>
      <w:r w:rsidRPr="00D641DB">
        <w:tab/>
        <w:t xml:space="preserve">B. If </w:t>
      </w:r>
      <w:r w:rsidRPr="00D641DB">
        <w:rPr>
          <w:b/>
          <w:bCs/>
        </w:rPr>
        <w:t>Yes</w:t>
      </w:r>
      <w:r w:rsidRPr="00D641DB">
        <w:t>, were antibiotics administered before collection of cultures?</w:t>
      </w:r>
    </w:p>
    <w:p w:rsidR="004D01D5" w:rsidRDefault="004D01D5" w:rsidP="00D641DB">
      <w:pPr>
        <w:pStyle w:val="NoSpacing"/>
      </w:pPr>
    </w:p>
    <w:p w:rsidR="00D641DB" w:rsidRDefault="00D641DB" w:rsidP="00D641DB">
      <w:pPr>
        <w:pStyle w:val="NoSpacing"/>
      </w:pPr>
      <w:r w:rsidRPr="00D641DB">
        <w:tab/>
        <w:t xml:space="preserve">C. If </w:t>
      </w:r>
      <w:r w:rsidRPr="00D641DB">
        <w:rPr>
          <w:b/>
          <w:bCs/>
        </w:rPr>
        <w:t xml:space="preserve">Yes </w:t>
      </w:r>
      <w:r w:rsidRPr="00D641DB">
        <w:t>(cultures were collected), was an organism isolated by culture within</w:t>
      </w:r>
      <w:r w:rsidR="007C6D4F">
        <w:t xml:space="preserve"> </w:t>
      </w:r>
      <w:r w:rsidRPr="00D641DB">
        <w:t>72 hours</w:t>
      </w:r>
    </w:p>
    <w:p w:rsidR="00D641DB" w:rsidRPr="00D641DB" w:rsidRDefault="00D641DB" w:rsidP="00D641DB">
      <w:pPr>
        <w:pStyle w:val="NoSpacing"/>
        <w:ind w:firstLine="720"/>
      </w:pPr>
      <w:proofErr w:type="gramStart"/>
      <w:r w:rsidRPr="00D641DB">
        <w:t>of</w:t>
      </w:r>
      <w:proofErr w:type="gramEnd"/>
      <w:r w:rsidRPr="00D641DB">
        <w:t xml:space="preserve"> the first dose of antibiotics? (If </w:t>
      </w:r>
      <w:proofErr w:type="gramStart"/>
      <w:r w:rsidRPr="00D641DB">
        <w:rPr>
          <w:b/>
          <w:bCs/>
        </w:rPr>
        <w:t>Yes</w:t>
      </w:r>
      <w:proofErr w:type="gramEnd"/>
      <w:r w:rsidRPr="00D641DB">
        <w:t>, skip to question #5)</w:t>
      </w:r>
    </w:p>
    <w:p w:rsidR="00D641DB" w:rsidRDefault="00D641DB" w:rsidP="00D641DB">
      <w:pPr>
        <w:pStyle w:val="NoSpacing"/>
      </w:pPr>
    </w:p>
    <w:p w:rsidR="00D641DB" w:rsidRPr="00D641DB" w:rsidRDefault="00D641DB" w:rsidP="00D641DB">
      <w:pPr>
        <w:pStyle w:val="NoSpacing"/>
      </w:pPr>
      <w:r w:rsidRPr="00D641DB">
        <w:t xml:space="preserve">4. If </w:t>
      </w:r>
      <w:r w:rsidR="007C6D4F">
        <w:t>n</w:t>
      </w:r>
      <w:r w:rsidRPr="007C6D4F">
        <w:rPr>
          <w:bCs/>
        </w:rPr>
        <w:t>o</w:t>
      </w:r>
      <w:r w:rsidRPr="00D641DB">
        <w:t xml:space="preserve"> organism was isolated with 72 hours of the first dose of antibiotics, were antibiotics stopped?</w:t>
      </w:r>
    </w:p>
    <w:p w:rsidR="004D01D5" w:rsidRDefault="004D01D5" w:rsidP="00D641DB">
      <w:pPr>
        <w:pStyle w:val="NoSpacing"/>
      </w:pPr>
    </w:p>
    <w:p w:rsidR="00D641DB" w:rsidRPr="00D641DB" w:rsidRDefault="00D641DB" w:rsidP="00D641DB">
      <w:pPr>
        <w:pStyle w:val="NoSpacing"/>
      </w:pPr>
      <w:r w:rsidRPr="00D641DB">
        <w:tab/>
        <w:t xml:space="preserve">A. If </w:t>
      </w:r>
      <w:r w:rsidRPr="00D641DB">
        <w:rPr>
          <w:b/>
          <w:bCs/>
        </w:rPr>
        <w:t>No</w:t>
      </w:r>
      <w:r w:rsidRPr="00D641DB">
        <w:t xml:space="preserve">, was a reason for continuation documented? </w:t>
      </w:r>
      <w:r w:rsidR="004D01D5">
        <w:t xml:space="preserve">(Please document </w:t>
      </w:r>
      <w:r w:rsidRPr="00D641DB">
        <w:t>reason below)</w:t>
      </w:r>
    </w:p>
    <w:p w:rsidR="00D641DB" w:rsidRPr="00D641DB" w:rsidRDefault="00D641DB" w:rsidP="00D641DB">
      <w:pPr>
        <w:pStyle w:val="NoSpacing"/>
      </w:pPr>
      <w:r w:rsidRPr="00D641DB">
        <w:tab/>
        <w:t>_______________________________________________________</w:t>
      </w:r>
    </w:p>
    <w:p w:rsidR="00D641DB" w:rsidRPr="00D641DB" w:rsidRDefault="00D641DB" w:rsidP="00D641DB">
      <w:pPr>
        <w:pStyle w:val="NoSpacing"/>
      </w:pPr>
    </w:p>
    <w:p w:rsidR="00D641DB" w:rsidRPr="00D641DB" w:rsidRDefault="00D641DB" w:rsidP="00D641DB">
      <w:pPr>
        <w:pStyle w:val="NoSpacing"/>
      </w:pPr>
      <w:r w:rsidRPr="00D641DB">
        <w:t xml:space="preserve">5. If an organism was isolated by culture, was it susceptible to the prescribed antibiotic? </w:t>
      </w:r>
      <w:r w:rsidRPr="00D641DB">
        <w:rPr>
          <w:b/>
          <w:bCs/>
        </w:rPr>
        <w:t>(PRINT ANTIBIOTIC SUSCEPTIBILITY REPORT)</w:t>
      </w:r>
    </w:p>
    <w:p w:rsidR="00D641DB" w:rsidRPr="00D641DB" w:rsidRDefault="00D641DB" w:rsidP="00D641DB">
      <w:pPr>
        <w:pStyle w:val="NoSpacing"/>
      </w:pPr>
    </w:p>
    <w:p w:rsidR="00D641DB" w:rsidRPr="00D641DB" w:rsidRDefault="00D641DB" w:rsidP="00D641DB">
      <w:pPr>
        <w:pStyle w:val="NoSpacing"/>
      </w:pPr>
      <w:r w:rsidRPr="00D641DB">
        <w:t>6. If an organism was isolated by culture, were antibiotics changed or stopped after culture results were available?</w:t>
      </w:r>
    </w:p>
    <w:p w:rsidR="004D01D5" w:rsidRDefault="004D01D5" w:rsidP="00D641DB">
      <w:pPr>
        <w:pStyle w:val="NoSpacing"/>
      </w:pPr>
    </w:p>
    <w:p w:rsidR="00D641DB" w:rsidRPr="00D641DB" w:rsidRDefault="00D641DB" w:rsidP="004D01D5">
      <w:pPr>
        <w:pStyle w:val="NoSpacing"/>
        <w:ind w:firstLine="720"/>
      </w:pPr>
      <w:r w:rsidRPr="00D641DB">
        <w:t xml:space="preserve">A. If </w:t>
      </w:r>
      <w:proofErr w:type="gramStart"/>
      <w:r w:rsidRPr="00D641DB">
        <w:rPr>
          <w:b/>
          <w:bCs/>
        </w:rPr>
        <w:t>Yes</w:t>
      </w:r>
      <w:proofErr w:type="gramEnd"/>
      <w:r w:rsidRPr="00D641DB">
        <w:t>, please document antibiotic change or check box below if stopped:</w:t>
      </w:r>
    </w:p>
    <w:p w:rsidR="00D641DB" w:rsidRPr="00D641DB" w:rsidRDefault="00D641DB" w:rsidP="00D641DB">
      <w:pPr>
        <w:pStyle w:val="NoSpacing"/>
      </w:pPr>
      <w:r w:rsidRPr="00D641DB">
        <w:tab/>
        <w:t>______________________________________________________</w:t>
      </w:r>
    </w:p>
    <w:p w:rsidR="00D641DB" w:rsidRPr="00D641DB" w:rsidRDefault="00D641DB" w:rsidP="00D641DB">
      <w:pPr>
        <w:pStyle w:val="NoSpacing"/>
      </w:pPr>
    </w:p>
    <w:p w:rsidR="00D641DB" w:rsidRDefault="00D641DB" w:rsidP="00D641DB">
      <w:pPr>
        <w:pStyle w:val="NoSpacing"/>
      </w:pPr>
      <w:r w:rsidRPr="00D641DB">
        <w:tab/>
        <w:t>_______ Antibiotics Stopped</w:t>
      </w:r>
    </w:p>
    <w:p w:rsidR="004D01D5" w:rsidRPr="00D641DB" w:rsidRDefault="004D01D5" w:rsidP="00D641DB">
      <w:pPr>
        <w:pStyle w:val="NoSpacing"/>
      </w:pPr>
    </w:p>
    <w:p w:rsidR="00D641DB" w:rsidRPr="00D641DB" w:rsidRDefault="00D641DB" w:rsidP="00D641DB">
      <w:pPr>
        <w:pStyle w:val="NoSpacing"/>
      </w:pPr>
      <w:r w:rsidRPr="00D641DB">
        <w:t>7. Was the patient initially prescribed an intravenous (IV) antibiotic with good oral bioavailability (See Appendix A)?</w:t>
      </w:r>
    </w:p>
    <w:p w:rsidR="00D641DB" w:rsidRPr="00D641DB" w:rsidRDefault="00D641DB" w:rsidP="00D641DB">
      <w:pPr>
        <w:pStyle w:val="NoSpacing"/>
      </w:pPr>
    </w:p>
    <w:p w:rsidR="004D01D5" w:rsidRDefault="00D641DB" w:rsidP="00D641DB">
      <w:pPr>
        <w:pStyle w:val="NoSpacing"/>
      </w:pPr>
      <w:r w:rsidRPr="00D641DB">
        <w:tab/>
        <w:t xml:space="preserve">A. If </w:t>
      </w:r>
      <w:r w:rsidRPr="00D641DB">
        <w:rPr>
          <w:b/>
          <w:bCs/>
        </w:rPr>
        <w:t>YES</w:t>
      </w:r>
      <w:r w:rsidRPr="00D641DB">
        <w:t>, was the antibiotic changed to an oral formulation (PO), within 24</w:t>
      </w:r>
      <w:r w:rsidR="004D01D5">
        <w:t xml:space="preserve"> hours of being</w:t>
      </w:r>
    </w:p>
    <w:p w:rsidR="00D641DB" w:rsidRDefault="00D641DB" w:rsidP="004D01D5">
      <w:pPr>
        <w:pStyle w:val="NoSpacing"/>
        <w:ind w:firstLine="720"/>
      </w:pPr>
      <w:proofErr w:type="gramStart"/>
      <w:r w:rsidRPr="00D641DB">
        <w:t>eligible</w:t>
      </w:r>
      <w:proofErr w:type="gramEnd"/>
      <w:r w:rsidRPr="00D641DB">
        <w:t xml:space="preserve"> for oral medications? (See Appendix B for criteria)</w:t>
      </w:r>
    </w:p>
    <w:p w:rsidR="004D01D5" w:rsidRPr="00D641DB" w:rsidRDefault="004D01D5" w:rsidP="00D641DB">
      <w:pPr>
        <w:pStyle w:val="NoSpacing"/>
      </w:pPr>
    </w:p>
    <w:p w:rsidR="00D641DB" w:rsidRDefault="00D641DB" w:rsidP="00D641DB">
      <w:pPr>
        <w:pStyle w:val="NoSpacing"/>
      </w:pPr>
      <w:r w:rsidRPr="00D641DB">
        <w:t>8. Total duration of antibiotic therapy while an inpa</w:t>
      </w:r>
      <w:r>
        <w:t>tient for the above indication?</w:t>
      </w:r>
    </w:p>
    <w:p w:rsidR="007C6D4F" w:rsidRDefault="007C6D4F" w:rsidP="00D641DB">
      <w:pPr>
        <w:pStyle w:val="NoSpacing"/>
      </w:pPr>
    </w:p>
    <w:p w:rsidR="007C6D4F" w:rsidRDefault="007C6D4F" w:rsidP="00D641DB">
      <w:pPr>
        <w:pStyle w:val="NoSpacing"/>
      </w:pPr>
    </w:p>
    <w:p w:rsidR="007C6D4F" w:rsidRDefault="007C6D4F" w:rsidP="00D641DB">
      <w:pPr>
        <w:pStyle w:val="NoSpacing"/>
      </w:pPr>
    </w:p>
    <w:p w:rsidR="007C6D4F" w:rsidRDefault="007C6D4F" w:rsidP="00D641DB">
      <w:pPr>
        <w:pStyle w:val="NoSpacing"/>
      </w:pPr>
    </w:p>
    <w:p w:rsidR="007C6D4F" w:rsidRDefault="007C6D4F" w:rsidP="00D641DB">
      <w:pPr>
        <w:pStyle w:val="NoSpacing"/>
      </w:pPr>
    </w:p>
    <w:p w:rsidR="007C6D4F" w:rsidRDefault="007C6D4F" w:rsidP="00D641DB">
      <w:pPr>
        <w:pStyle w:val="NoSpacing"/>
      </w:pPr>
    </w:p>
    <w:p w:rsidR="007C6D4F" w:rsidRDefault="007C6D4F" w:rsidP="00D641DB">
      <w:pPr>
        <w:pStyle w:val="NoSpacing"/>
      </w:pPr>
    </w:p>
    <w:p w:rsidR="007C6D4F" w:rsidRDefault="007C6D4F" w:rsidP="00D641DB">
      <w:pPr>
        <w:pStyle w:val="NoSpacing"/>
      </w:pPr>
    </w:p>
    <w:p w:rsidR="007C6D4F" w:rsidRDefault="007C6D4F" w:rsidP="00D641DB">
      <w:pPr>
        <w:pStyle w:val="NoSpacing"/>
      </w:pPr>
    </w:p>
    <w:p w:rsidR="007C6D4F" w:rsidRDefault="007C6D4F" w:rsidP="00D641DB">
      <w:pPr>
        <w:pStyle w:val="NoSpacing"/>
      </w:pPr>
    </w:p>
    <w:p w:rsidR="007C6D4F" w:rsidRDefault="007C6D4F" w:rsidP="007C6D4F">
      <w:pPr>
        <w:pStyle w:val="NoSpacing"/>
        <w:jc w:val="center"/>
      </w:pPr>
      <w:r>
        <w:t>Yes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Yes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Yes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Yes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Yes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Yes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Yes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Yes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Yes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______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No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No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No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No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No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No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No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No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  <w:r>
        <w:t>No</w:t>
      </w:r>
    </w:p>
    <w:p w:rsidR="007C6D4F" w:rsidRDefault="007C6D4F" w:rsidP="007C6D4F">
      <w:pPr>
        <w:pStyle w:val="NoSpacing"/>
        <w:jc w:val="center"/>
      </w:pPr>
    </w:p>
    <w:p w:rsidR="007C6D4F" w:rsidRDefault="007C6D4F" w:rsidP="007C6D4F">
      <w:pPr>
        <w:pStyle w:val="NoSpacing"/>
        <w:jc w:val="center"/>
      </w:pPr>
    </w:p>
    <w:p w:rsidR="00A46039" w:rsidRDefault="007C6D4F" w:rsidP="007C6D4F">
      <w:pPr>
        <w:pStyle w:val="NoSpacing"/>
        <w:jc w:val="center"/>
        <w:sectPr w:rsidR="00A46039" w:rsidSect="00D641DB">
          <w:type w:val="continuous"/>
          <w:pgSz w:w="12240" w:h="15840"/>
          <w:pgMar w:top="720" w:right="720" w:bottom="720" w:left="720" w:header="720" w:footer="720" w:gutter="0"/>
          <w:cols w:num="3" w:space="288" w:equalWidth="0">
            <w:col w:w="8784" w:space="288"/>
            <w:col w:w="720" w:space="288"/>
            <w:col w:w="720"/>
          </w:cols>
          <w:docGrid w:linePitch="360"/>
        </w:sectPr>
      </w:pPr>
      <w:r>
        <w:t>Days</w:t>
      </w:r>
    </w:p>
    <w:p w:rsidR="00A46039" w:rsidRDefault="00A46039" w:rsidP="00A46039">
      <w:pPr>
        <w:pStyle w:val="NoSpacing"/>
        <w:jc w:val="center"/>
        <w:rPr>
          <w:b/>
          <w:bCs/>
          <w:sz w:val="28"/>
          <w:szCs w:val="28"/>
        </w:rPr>
      </w:pPr>
    </w:p>
    <w:p w:rsidR="00A46039" w:rsidRPr="00A46039" w:rsidRDefault="00A46039" w:rsidP="00A46039">
      <w:pPr>
        <w:pStyle w:val="NoSpacing"/>
        <w:jc w:val="center"/>
        <w:rPr>
          <w:b/>
          <w:sz w:val="28"/>
          <w:szCs w:val="28"/>
        </w:rPr>
      </w:pPr>
      <w:r w:rsidRPr="00D641DB">
        <w:rPr>
          <w:b/>
          <w:sz w:val="28"/>
          <w:szCs w:val="28"/>
        </w:rPr>
        <w:lastRenderedPageBreak/>
        <w:t>Assessment of Appropriateness of Inpatient Antibiotics</w:t>
      </w:r>
    </w:p>
    <w:p w:rsidR="00A46039" w:rsidRPr="00621662" w:rsidRDefault="00A46039" w:rsidP="00A46039">
      <w:pPr>
        <w:pStyle w:val="NoSpacing"/>
        <w:pBdr>
          <w:bottom w:val="single" w:sz="6" w:space="1" w:color="auto"/>
        </w:pBdr>
        <w:rPr>
          <w:sz w:val="18"/>
          <w:szCs w:val="18"/>
          <w:u w:val="single"/>
        </w:rPr>
      </w:pPr>
    </w:p>
    <w:p w:rsidR="00A46039" w:rsidRDefault="00A46039" w:rsidP="00A46039">
      <w:pPr>
        <w:pStyle w:val="NoSpacing"/>
        <w:rPr>
          <w:u w:val="single"/>
        </w:rPr>
      </w:pPr>
    </w:p>
    <w:p w:rsidR="00A46039" w:rsidRPr="00621662" w:rsidRDefault="00A46039" w:rsidP="00A46039">
      <w:pPr>
        <w:pStyle w:val="NoSpacing"/>
      </w:pPr>
      <w:r w:rsidRPr="00621662">
        <w:rPr>
          <w:u w:val="single"/>
        </w:rPr>
        <w:t>Appendix A:</w:t>
      </w:r>
    </w:p>
    <w:p w:rsidR="00A46039" w:rsidRPr="00621662" w:rsidRDefault="00A46039" w:rsidP="00A46039">
      <w:pPr>
        <w:pStyle w:val="NoSpacing"/>
      </w:pPr>
      <w:r w:rsidRPr="00621662">
        <w:t>Amoxicillin</w:t>
      </w:r>
    </w:p>
    <w:p w:rsidR="00A46039" w:rsidRPr="00621662" w:rsidRDefault="00A46039" w:rsidP="00A46039">
      <w:pPr>
        <w:pStyle w:val="NoSpacing"/>
      </w:pPr>
      <w:r w:rsidRPr="00621662">
        <w:t>Amoxicillin/</w:t>
      </w:r>
      <w:proofErr w:type="spellStart"/>
      <w:r w:rsidRPr="00621662">
        <w:t>Clavulanate</w:t>
      </w:r>
      <w:proofErr w:type="spellEnd"/>
    </w:p>
    <w:p w:rsidR="00A46039" w:rsidRPr="00621662" w:rsidRDefault="00A46039" w:rsidP="00A46039">
      <w:pPr>
        <w:pStyle w:val="NoSpacing"/>
      </w:pPr>
      <w:r w:rsidRPr="00621662">
        <w:t>Azithromycin</w:t>
      </w:r>
    </w:p>
    <w:p w:rsidR="00A46039" w:rsidRPr="00621662" w:rsidRDefault="00A46039" w:rsidP="00A46039">
      <w:pPr>
        <w:pStyle w:val="NoSpacing"/>
      </w:pPr>
      <w:proofErr w:type="spellStart"/>
      <w:r w:rsidRPr="00621662">
        <w:t>Cefpodoxime</w:t>
      </w:r>
      <w:proofErr w:type="spellEnd"/>
    </w:p>
    <w:p w:rsidR="00A46039" w:rsidRPr="00621662" w:rsidRDefault="00A46039" w:rsidP="00A46039">
      <w:pPr>
        <w:pStyle w:val="NoSpacing"/>
      </w:pPr>
      <w:r w:rsidRPr="00621662">
        <w:t>Ciprofloxacin</w:t>
      </w:r>
    </w:p>
    <w:p w:rsidR="00A46039" w:rsidRPr="00621662" w:rsidRDefault="00A46039" w:rsidP="00A46039">
      <w:pPr>
        <w:pStyle w:val="NoSpacing"/>
      </w:pPr>
      <w:r w:rsidRPr="00621662">
        <w:t>Clindamycin</w:t>
      </w:r>
    </w:p>
    <w:p w:rsidR="00A46039" w:rsidRPr="00621662" w:rsidRDefault="00A46039" w:rsidP="00A46039">
      <w:pPr>
        <w:pStyle w:val="NoSpacing"/>
      </w:pPr>
      <w:r w:rsidRPr="00621662">
        <w:t>Doxycycline</w:t>
      </w:r>
    </w:p>
    <w:p w:rsidR="00A46039" w:rsidRPr="00621662" w:rsidRDefault="00A46039" w:rsidP="00A46039">
      <w:pPr>
        <w:pStyle w:val="NoSpacing"/>
      </w:pPr>
      <w:r w:rsidRPr="00621662">
        <w:t>Levofloxacin</w:t>
      </w:r>
    </w:p>
    <w:p w:rsidR="00A46039" w:rsidRPr="00621662" w:rsidRDefault="00A46039" w:rsidP="00A46039">
      <w:pPr>
        <w:pStyle w:val="NoSpacing"/>
      </w:pPr>
      <w:r w:rsidRPr="00621662">
        <w:t>Linezolid</w:t>
      </w:r>
    </w:p>
    <w:p w:rsidR="00A46039" w:rsidRPr="00621662" w:rsidRDefault="00A46039" w:rsidP="00A46039">
      <w:pPr>
        <w:pStyle w:val="NoSpacing"/>
      </w:pPr>
      <w:proofErr w:type="spellStart"/>
      <w:r w:rsidRPr="00621662">
        <w:t>Moxifloxacin</w:t>
      </w:r>
      <w:proofErr w:type="spellEnd"/>
    </w:p>
    <w:p w:rsidR="00A46039" w:rsidRDefault="00A46039" w:rsidP="00A46039">
      <w:pPr>
        <w:pStyle w:val="NoSpacing"/>
      </w:pPr>
      <w:r w:rsidRPr="00621662">
        <w:t>Trimethoprim/</w:t>
      </w:r>
      <w:proofErr w:type="spellStart"/>
      <w:r w:rsidRPr="00621662">
        <w:t>Sulfamethoxazole</w:t>
      </w:r>
      <w:proofErr w:type="spellEnd"/>
    </w:p>
    <w:p w:rsidR="00A46039" w:rsidRPr="00621662" w:rsidRDefault="00A46039" w:rsidP="00A46039">
      <w:pPr>
        <w:pStyle w:val="NoSpacing"/>
      </w:pPr>
    </w:p>
    <w:p w:rsidR="00A46039" w:rsidRDefault="00A46039" w:rsidP="00A46039">
      <w:pPr>
        <w:pStyle w:val="NoSpacing"/>
        <w:rPr>
          <w:u w:val="single"/>
        </w:rPr>
      </w:pPr>
    </w:p>
    <w:p w:rsidR="00A46039" w:rsidRPr="00621662" w:rsidRDefault="00A46039" w:rsidP="00A46039">
      <w:pPr>
        <w:pStyle w:val="NoSpacing"/>
      </w:pPr>
      <w:r w:rsidRPr="00621662">
        <w:rPr>
          <w:u w:val="single"/>
        </w:rPr>
        <w:t>Appendix B:</w:t>
      </w:r>
    </w:p>
    <w:p w:rsidR="00A46039" w:rsidRPr="00621662" w:rsidRDefault="00A46039" w:rsidP="00A46039">
      <w:pPr>
        <w:pStyle w:val="NoSpacing"/>
      </w:pPr>
      <w:r w:rsidRPr="00621662">
        <w:t>1. Patients must meet the following criteria:</w:t>
      </w:r>
    </w:p>
    <w:p w:rsidR="00A46039" w:rsidRPr="00621662" w:rsidRDefault="00A46039" w:rsidP="00A46039">
      <w:pPr>
        <w:pStyle w:val="NoSpacing"/>
      </w:pPr>
      <w:r w:rsidRPr="00621662">
        <w:tab/>
        <w:t>A. Receiving oral or gastric tube intake.</w:t>
      </w:r>
    </w:p>
    <w:p w:rsidR="00A46039" w:rsidRDefault="00A46039" w:rsidP="00A46039">
      <w:pPr>
        <w:pStyle w:val="NoSpacing"/>
      </w:pPr>
      <w:r w:rsidRPr="00621662">
        <w:tab/>
        <w:t>B. Taking other oral medications.</w:t>
      </w:r>
    </w:p>
    <w:p w:rsidR="00A46039" w:rsidRPr="00621662" w:rsidRDefault="00A46039" w:rsidP="00A46039">
      <w:pPr>
        <w:pStyle w:val="NoSpacing"/>
      </w:pPr>
    </w:p>
    <w:p w:rsidR="00A46039" w:rsidRPr="00621662" w:rsidRDefault="00A46039" w:rsidP="00A46039">
      <w:pPr>
        <w:pStyle w:val="NoSpacing"/>
      </w:pPr>
      <w:r w:rsidRPr="00621662">
        <w:t>2. Patients are considered inappropriate for IV to PO conversion if any of the following are present:</w:t>
      </w:r>
    </w:p>
    <w:p w:rsidR="00A46039" w:rsidRPr="00621662" w:rsidRDefault="00A46039" w:rsidP="00A46039">
      <w:pPr>
        <w:pStyle w:val="NoSpacing"/>
      </w:pPr>
      <w:r w:rsidRPr="00621662">
        <w:tab/>
        <w:t xml:space="preserve">A. </w:t>
      </w:r>
      <w:proofErr w:type="spellStart"/>
      <w:r w:rsidRPr="00621662">
        <w:t>Mucositis</w:t>
      </w:r>
      <w:proofErr w:type="spellEnd"/>
      <w:r w:rsidRPr="00621662">
        <w:t>.</w:t>
      </w:r>
    </w:p>
    <w:p w:rsidR="00A46039" w:rsidRPr="00621662" w:rsidRDefault="00A46039" w:rsidP="00A46039">
      <w:pPr>
        <w:pStyle w:val="NoSpacing"/>
      </w:pPr>
      <w:r w:rsidRPr="00621662">
        <w:tab/>
        <w:t>B. Malabsorption syndrome or gastrointestinal motility disorder.</w:t>
      </w:r>
    </w:p>
    <w:p w:rsidR="00A46039" w:rsidRPr="00621662" w:rsidRDefault="00A46039" w:rsidP="00A46039">
      <w:pPr>
        <w:pStyle w:val="NoSpacing"/>
      </w:pPr>
      <w:r w:rsidRPr="00621662">
        <w:tab/>
        <w:t>C. Severe nausea, vomiting or diarrhea.</w:t>
      </w:r>
    </w:p>
    <w:p w:rsidR="00A46039" w:rsidRPr="00621662" w:rsidRDefault="00A46039" w:rsidP="00A46039">
      <w:pPr>
        <w:pStyle w:val="NoSpacing"/>
      </w:pPr>
      <w:r w:rsidRPr="00621662">
        <w:tab/>
        <w:t>D. Continuous nasogastric suctioning.</w:t>
      </w:r>
    </w:p>
    <w:p w:rsidR="00A46039" w:rsidRPr="00302125" w:rsidRDefault="00A46039" w:rsidP="00A46039">
      <w:pPr>
        <w:pStyle w:val="NoSpacing"/>
      </w:pPr>
      <w:r w:rsidRPr="00621662">
        <w:tab/>
        <w:t xml:space="preserve">E. Continuous enteral feeds are contraindicated with oral ciprofloxacin, levofloxacin or </w:t>
      </w:r>
      <w:proofErr w:type="spellStart"/>
      <w:r w:rsidRPr="00621662">
        <w:t>moxifloxacin</w:t>
      </w:r>
      <w:proofErr w:type="spellEnd"/>
      <w:r w:rsidRPr="00621662">
        <w:t>.</w:t>
      </w:r>
    </w:p>
    <w:p w:rsidR="007C6D4F" w:rsidRDefault="007C6D4F" w:rsidP="007C6D4F">
      <w:pPr>
        <w:pStyle w:val="NoSpacing"/>
        <w:jc w:val="center"/>
      </w:pPr>
    </w:p>
    <w:sectPr w:rsidR="007C6D4F" w:rsidSect="00621662">
      <w:type w:val="continuous"/>
      <w:pgSz w:w="12240" w:h="15840"/>
      <w:pgMar w:top="720" w:right="720" w:bottom="720" w:left="720" w:header="720" w:footer="720" w:gutter="0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DB"/>
    <w:rsid w:val="004D01D5"/>
    <w:rsid w:val="007C6D4F"/>
    <w:rsid w:val="00950755"/>
    <w:rsid w:val="009E49DA"/>
    <w:rsid w:val="00A46039"/>
    <w:rsid w:val="00D641DB"/>
    <w:rsid w:val="00E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41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41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2014-02-24T18:29:00Z</dcterms:created>
  <dcterms:modified xsi:type="dcterms:W3CDTF">2014-02-24T18:55:00Z</dcterms:modified>
</cp:coreProperties>
</file>