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98C" w:rsidRPr="00BE398C" w:rsidRDefault="00BE398C" w:rsidP="00BE398C">
      <w:pPr>
        <w:pStyle w:val="BodyText"/>
        <w:rPr>
          <w:rFonts w:ascii="Times New Roman" w:hAnsi="Times New Roman" w:cs="Times New Roman"/>
          <w:iCs/>
          <w:sz w:val="24"/>
          <w:szCs w:val="24"/>
        </w:rPr>
      </w:pPr>
      <w:r w:rsidRPr="00BE398C">
        <w:rPr>
          <w:rFonts w:ascii="Times New Roman" w:hAnsi="Times New Roman" w:cs="Times New Roman"/>
          <w:b/>
          <w:sz w:val="24"/>
          <w:szCs w:val="24"/>
        </w:rPr>
        <w:t xml:space="preserve">Appendix C. State of TN Community Health Record (CHR) Infrastructure.  </w:t>
      </w:r>
      <w:r w:rsidRPr="00BE398C">
        <w:rPr>
          <w:rFonts w:ascii="Times New Roman" w:hAnsi="Times New Roman" w:cs="Times New Roman"/>
          <w:sz w:val="24"/>
          <w:szCs w:val="24"/>
        </w:rPr>
        <w:t xml:space="preserve">CHR tool infrastructure, utilizing Open Source and Open Data standards via the construction of an Open infrastructure. It includes 1) </w:t>
      </w:r>
      <w:r w:rsidRPr="00BE398C">
        <w:rPr>
          <w:rFonts w:ascii="Times New Roman" w:hAnsi="Times New Roman" w:cs="Times New Roman"/>
          <w:iCs/>
          <w:sz w:val="24"/>
          <w:szCs w:val="24"/>
        </w:rPr>
        <w:t>the implementation of an evolving industry standard data store (</w:t>
      </w:r>
      <w:proofErr w:type="spellStart"/>
      <w:r w:rsidRPr="00BE398C">
        <w:rPr>
          <w:rFonts w:ascii="Times New Roman" w:hAnsi="Times New Roman" w:cs="Times New Roman"/>
          <w:i/>
          <w:iCs/>
          <w:sz w:val="24"/>
          <w:szCs w:val="24"/>
        </w:rPr>
        <w:t>mongoDB</w:t>
      </w:r>
      <w:proofErr w:type="spellEnd"/>
      <w:r w:rsidRPr="00BE398C">
        <w:rPr>
          <w:rFonts w:ascii="Times New Roman" w:hAnsi="Times New Roman" w:cs="Times New Roman"/>
          <w:iCs/>
          <w:sz w:val="24"/>
          <w:szCs w:val="24"/>
        </w:rPr>
        <w:t>) and warehouse (</w:t>
      </w:r>
      <w:r w:rsidRPr="00BE398C">
        <w:rPr>
          <w:rFonts w:ascii="Times New Roman" w:hAnsi="Times New Roman" w:cs="Times New Roman"/>
          <w:i/>
          <w:iCs/>
          <w:sz w:val="24"/>
          <w:szCs w:val="24"/>
        </w:rPr>
        <w:t>Hadoop</w:t>
      </w:r>
      <w:r w:rsidRPr="00BE398C">
        <w:rPr>
          <w:rFonts w:ascii="Times New Roman" w:hAnsi="Times New Roman" w:cs="Times New Roman"/>
          <w:iCs/>
          <w:sz w:val="24"/>
          <w:szCs w:val="24"/>
        </w:rPr>
        <w:t xml:space="preserve">); 2) the implementation of a federated data gateway utilizing </w:t>
      </w:r>
      <w:r w:rsidRPr="00BE398C">
        <w:rPr>
          <w:rFonts w:ascii="Times New Roman" w:hAnsi="Times New Roman" w:cs="Times New Roman"/>
          <w:i/>
          <w:iCs/>
          <w:sz w:val="24"/>
          <w:szCs w:val="24"/>
        </w:rPr>
        <w:t>CKAN</w:t>
      </w:r>
      <w:r w:rsidRPr="00BE398C">
        <w:rPr>
          <w:rFonts w:ascii="Times New Roman" w:hAnsi="Times New Roman" w:cs="Times New Roman"/>
          <w:iCs/>
          <w:sz w:val="24"/>
          <w:szCs w:val="24"/>
        </w:rPr>
        <w:t xml:space="preserve">, a nodal framework supports simplified cross-pollination of emerging data stores; and 3) the use of WEAVE ANALYTICS AVR infrastructure, a next-generation Business Intelligence (BI) platform supporting the construction of task-specific analytic views of the federated data </w:t>
      </w:r>
      <w:hyperlink r:id="rId7" w:history="1">
        <w:r w:rsidRPr="00BE398C">
          <w:rPr>
            <w:rStyle w:val="Hyperlink"/>
            <w:rFonts w:ascii="Times New Roman" w:hAnsi="Times New Roman" w:cs="Times New Roman"/>
            <w:sz w:val="24"/>
            <w:szCs w:val="24"/>
          </w:rPr>
          <w:t>http://iweave.com/</w:t>
        </w:r>
      </w:hyperlink>
      <w:r w:rsidRPr="00BE398C">
        <w:rPr>
          <w:rFonts w:ascii="Times New Roman" w:hAnsi="Times New Roman" w:cs="Times New Roman"/>
          <w:iCs/>
          <w:sz w:val="24"/>
          <w:szCs w:val="24"/>
        </w:rPr>
        <w:t xml:space="preserve">. </w:t>
      </w:r>
    </w:p>
    <w:p w:rsidR="00BE398C" w:rsidRPr="00BE398C" w:rsidRDefault="00BE398C" w:rsidP="00BE398C">
      <w:pPr>
        <w:rPr>
          <w:rFonts w:ascii="Times New Roman" w:hAnsi="Times New Roman" w:cs="Times New Roman"/>
          <w:sz w:val="24"/>
          <w:szCs w:val="24"/>
        </w:rPr>
      </w:pPr>
    </w:p>
    <w:p w:rsidR="00BE398C" w:rsidRPr="00BE398C" w:rsidRDefault="00BE398C" w:rsidP="00BE398C">
      <w:pPr>
        <w:rPr>
          <w:rFonts w:ascii="Times New Roman" w:hAnsi="Times New Roman" w:cs="Times New Roman"/>
          <w:sz w:val="24"/>
          <w:szCs w:val="24"/>
        </w:rPr>
      </w:pPr>
      <w:bookmarkStart w:id="0" w:name="_GoBack"/>
      <w:r w:rsidRPr="00BE398C">
        <w:rPr>
          <w:rFonts w:ascii="Times New Roman" w:hAnsi="Times New Roman" w:cs="Times New Roman"/>
          <w:noProof/>
          <w:sz w:val="24"/>
          <w:szCs w:val="24"/>
        </w:rPr>
        <w:drawing>
          <wp:inline distT="0" distB="0" distL="0" distR="0" wp14:anchorId="79552288" wp14:editId="521AAAAD">
            <wp:extent cx="6318504" cy="3666744"/>
            <wp:effectExtent l="0" t="0" r="6350" b="0"/>
            <wp:docPr id="5" name="Picture 5" descr="CHR tool infrastructure, utilizing Open Source and Open Data standards via the construction of an Open infrastructure. It includes 1) the implementation of an evolving industry standard data store (mongoDB) and warehouse (Hadoop); 2) the implementation of a federated data gateway utilizing CKAN, a nodal framework supports simplified cross-pollination of emerging data stores; and 3) the use of WEAVE ANALYTICS AVR infrastructure, a next-generation Business Intelligence (BI) platform supporting the construction of task-specific analytic views of the federated data http://iweave.com/. " title="Appendix C. State of TN Community Health Record (CHR) Infrastruc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8504" cy="3666744"/>
                    </a:xfrm>
                    <a:prstGeom prst="rect">
                      <a:avLst/>
                    </a:prstGeom>
                    <a:noFill/>
                  </pic:spPr>
                </pic:pic>
              </a:graphicData>
            </a:graphic>
          </wp:inline>
        </w:drawing>
      </w:r>
      <w:bookmarkEnd w:id="0"/>
    </w:p>
    <w:p w:rsidR="00BE398C" w:rsidRPr="00BE398C" w:rsidRDefault="00BE398C" w:rsidP="00BE398C">
      <w:pPr>
        <w:rPr>
          <w:rFonts w:ascii="Times New Roman" w:hAnsi="Times New Roman" w:cs="Times New Roman"/>
          <w:sz w:val="24"/>
          <w:szCs w:val="24"/>
        </w:rPr>
      </w:pPr>
      <w:r w:rsidRPr="00BE398C">
        <w:rPr>
          <w:rFonts w:ascii="Times New Roman" w:hAnsi="Times New Roman" w:cs="Times New Roman"/>
          <w:iCs/>
          <w:sz w:val="24"/>
          <w:szCs w:val="24"/>
        </w:rPr>
        <w:t>*The implementation is contingent on existing technical infrastructures, and may be substituted with like solutions as both the technologies and framework evolve.</w:t>
      </w:r>
    </w:p>
    <w:p w:rsidR="00BE398C" w:rsidRDefault="00BE398C" w:rsidP="00BE398C"/>
    <w:p w:rsidR="00BE398C" w:rsidRDefault="00BE398C" w:rsidP="00BE398C">
      <w:pPr>
        <w:rPr>
          <w:rFonts w:ascii="Times New Roman" w:hAnsi="Times New Roman" w:cs="Times New Roman"/>
          <w:sz w:val="24"/>
          <w:szCs w:val="24"/>
        </w:rPr>
      </w:pPr>
    </w:p>
    <w:p w:rsidR="00BE398C" w:rsidRDefault="00BE398C" w:rsidP="00BE398C">
      <w:pPr>
        <w:rPr>
          <w:rFonts w:ascii="Times New Roman" w:hAnsi="Times New Roman" w:cs="Times New Roman"/>
          <w:sz w:val="24"/>
          <w:szCs w:val="24"/>
        </w:rPr>
      </w:pPr>
    </w:p>
    <w:p w:rsidR="00BE398C" w:rsidRDefault="00BE398C" w:rsidP="00BE398C">
      <w:pPr>
        <w:rPr>
          <w:rFonts w:ascii="Times New Roman" w:hAnsi="Times New Roman" w:cs="Times New Roman"/>
          <w:sz w:val="24"/>
          <w:szCs w:val="24"/>
        </w:rPr>
      </w:pPr>
    </w:p>
    <w:p w:rsidR="00BE398C" w:rsidRDefault="00BE398C" w:rsidP="00BE398C">
      <w:pPr>
        <w:rPr>
          <w:rFonts w:ascii="Times New Roman" w:hAnsi="Times New Roman" w:cs="Times New Roman"/>
          <w:sz w:val="24"/>
          <w:szCs w:val="24"/>
        </w:rPr>
      </w:pPr>
    </w:p>
    <w:p w:rsidR="00BE398C" w:rsidRDefault="00BE398C" w:rsidP="00BE398C">
      <w:pPr>
        <w:rPr>
          <w:rFonts w:ascii="Times New Roman" w:hAnsi="Times New Roman" w:cs="Times New Roman"/>
          <w:sz w:val="24"/>
          <w:szCs w:val="24"/>
        </w:rPr>
      </w:pPr>
    </w:p>
    <w:p w:rsidR="00BE398C" w:rsidRDefault="00BE398C" w:rsidP="00BE398C">
      <w:pPr>
        <w:rPr>
          <w:rFonts w:ascii="Times New Roman" w:hAnsi="Times New Roman" w:cs="Times New Roman"/>
          <w:sz w:val="24"/>
          <w:szCs w:val="24"/>
        </w:rPr>
      </w:pPr>
    </w:p>
    <w:p w:rsidR="00BE398C" w:rsidRDefault="00BE398C" w:rsidP="00BE398C">
      <w:pPr>
        <w:rPr>
          <w:rFonts w:ascii="Times New Roman" w:hAnsi="Times New Roman" w:cs="Times New Roman"/>
          <w:sz w:val="24"/>
          <w:szCs w:val="24"/>
        </w:rPr>
      </w:pPr>
    </w:p>
    <w:sectPr w:rsidR="00BE398C"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81A" w:rsidRDefault="00B4781A" w:rsidP="008B5D54">
      <w:pPr>
        <w:spacing w:after="0" w:line="240" w:lineRule="auto"/>
      </w:pPr>
      <w:r>
        <w:separator/>
      </w:r>
    </w:p>
  </w:endnote>
  <w:endnote w:type="continuationSeparator" w:id="0">
    <w:p w:rsidR="00B4781A" w:rsidRDefault="00B4781A"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81A" w:rsidRDefault="00B4781A" w:rsidP="008B5D54">
      <w:pPr>
        <w:spacing w:after="0" w:line="240" w:lineRule="auto"/>
      </w:pPr>
      <w:r>
        <w:separator/>
      </w:r>
    </w:p>
  </w:footnote>
  <w:footnote w:type="continuationSeparator" w:id="0">
    <w:p w:rsidR="00B4781A" w:rsidRDefault="00B4781A"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7E9"/>
    <w:rsid w:val="00000650"/>
    <w:rsid w:val="00027FCC"/>
    <w:rsid w:val="000713CA"/>
    <w:rsid w:val="00275B26"/>
    <w:rsid w:val="002760B0"/>
    <w:rsid w:val="0033549B"/>
    <w:rsid w:val="00353473"/>
    <w:rsid w:val="005867E9"/>
    <w:rsid w:val="005D17EC"/>
    <w:rsid w:val="005D7025"/>
    <w:rsid w:val="006C6578"/>
    <w:rsid w:val="00727050"/>
    <w:rsid w:val="007F24F2"/>
    <w:rsid w:val="008B5D54"/>
    <w:rsid w:val="00A56C97"/>
    <w:rsid w:val="00AD4A02"/>
    <w:rsid w:val="00B4781A"/>
    <w:rsid w:val="00B55735"/>
    <w:rsid w:val="00B608AC"/>
    <w:rsid w:val="00BA5279"/>
    <w:rsid w:val="00BE398C"/>
    <w:rsid w:val="00BF55D2"/>
    <w:rsid w:val="00CF7CD9"/>
    <w:rsid w:val="00D72F32"/>
    <w:rsid w:val="00D876EA"/>
    <w:rsid w:val="00DC57CC"/>
    <w:rsid w:val="00DD4B07"/>
    <w:rsid w:val="00DF4AB4"/>
    <w:rsid w:val="00F47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4BC744C-78C8-4F57-9AE3-79C1DB8DB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LightGrid-Accent1">
    <w:name w:val="Light Grid Accent 1"/>
    <w:basedOn w:val="TableNormal"/>
    <w:uiPriority w:val="62"/>
    <w:rsid w:val="002760B0"/>
    <w:pPr>
      <w:spacing w:after="0" w:line="240" w:lineRule="auto"/>
    </w:pPr>
    <w:rPr>
      <w:rFonts w:ascii="Times New Roman" w:eastAsia="Times New Roman" w:hAnsi="Times New Roman" w:cs="Times New Roma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eGrid">
    <w:name w:val="Table Grid"/>
    <w:basedOn w:val="TableNormal"/>
    <w:uiPriority w:val="59"/>
    <w:rsid w:val="00276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70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050"/>
    <w:rPr>
      <w:rFonts w:ascii="Segoe UI" w:hAnsi="Segoe UI" w:cs="Segoe UI"/>
      <w:sz w:val="18"/>
      <w:szCs w:val="18"/>
    </w:rPr>
  </w:style>
  <w:style w:type="paragraph" w:styleId="BodyText">
    <w:name w:val="Body Text"/>
    <w:basedOn w:val="Normal"/>
    <w:link w:val="BodyTextChar"/>
    <w:uiPriority w:val="99"/>
    <w:unhideWhenUsed/>
    <w:rsid w:val="00BE398C"/>
    <w:pPr>
      <w:spacing w:after="120"/>
    </w:pPr>
  </w:style>
  <w:style w:type="character" w:customStyle="1" w:styleId="BodyTextChar">
    <w:name w:val="Body Text Char"/>
    <w:basedOn w:val="DefaultParagraphFont"/>
    <w:link w:val="BodyText"/>
    <w:uiPriority w:val="99"/>
    <w:rsid w:val="00BE398C"/>
  </w:style>
  <w:style w:type="character" w:styleId="Hyperlink">
    <w:name w:val="Hyperlink"/>
    <w:basedOn w:val="DefaultParagraphFont"/>
    <w:uiPriority w:val="99"/>
    <w:unhideWhenUsed/>
    <w:rsid w:val="00BE39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216935">
      <w:bodyDiv w:val="1"/>
      <w:marLeft w:val="0"/>
      <w:marRight w:val="0"/>
      <w:marTop w:val="0"/>
      <w:marBottom w:val="0"/>
      <w:divBdr>
        <w:top w:val="none" w:sz="0" w:space="0" w:color="auto"/>
        <w:left w:val="none" w:sz="0" w:space="0" w:color="auto"/>
        <w:bottom w:val="none" w:sz="0" w:space="0" w:color="auto"/>
        <w:right w:val="none" w:sz="0" w:space="0" w:color="auto"/>
      </w:divBdr>
    </w:div>
    <w:div w:id="208753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iweave.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A45D1-3150-487C-BDC0-A82B70F32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129</Words>
  <Characters>740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Capacity Building, Chronic Disease, Community Networks, Electronic Health Record, Health Information Systems, Health Information Technology, Informatics, Information Dissemination, Personal Health Record, Public-Private Sector Partnerships </dc:title>
  <dc:subject>Capacity Building, Chronic Disease, Community Networks, Electronic Health Record, Health Information Systems, Health Information Technology, Informatics, Information Dissemination, Personal Health Record, Public-Private Sector Partnerships </dc:subject>
  <dc:creator>Ray King</dc:creator>
  <cp:keywords>Capacity Building, Chronic Disease, Community Networks, Electronic Health Record, Health Information Systems, Health Information Technology, Informatics, Information Dissemination, Personal Health Record, Public-Private Sector Partnerships</cp:keywords>
  <cp:lastModifiedBy>Jones, Shawn (CDC/ONDIEH/NCCDPHP) (CTR)</cp:lastModifiedBy>
  <cp:revision>3</cp:revision>
  <dcterms:created xsi:type="dcterms:W3CDTF">2016-08-17T20:58:00Z</dcterms:created>
  <dcterms:modified xsi:type="dcterms:W3CDTF">2016-08-24T20:52:00Z</dcterms:modified>
  <cp:category>Special Topic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